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640" w:lineRule="exact"/>
        <w:ind w:left="0" w:leftChars="0"/>
        <w:jc w:val="left"/>
        <w:textAlignment w:val="auto"/>
        <w:rPr>
          <w:rFonts w:ascii="黑体" w:hAnsi="黑体" w:eastAsia="黑体"/>
          <w:bCs/>
          <w:sz w:val="32"/>
          <w:szCs w:val="32"/>
        </w:rPr>
      </w:pPr>
      <w:r>
        <w:rPr>
          <w:rFonts w:hint="eastAsia" w:ascii="黑体" w:hAnsi="黑体" w:eastAsia="黑体"/>
          <w:bCs/>
          <w:sz w:val="32"/>
          <w:szCs w:val="32"/>
        </w:rPr>
        <w:t>附件</w:t>
      </w:r>
      <w:r>
        <w:rPr>
          <w:rFonts w:ascii="黑体" w:hAnsi="黑体" w:eastAsia="黑体"/>
          <w:bCs/>
          <w:sz w:val="32"/>
          <w:szCs w:val="32"/>
        </w:rPr>
        <w:t>1</w:t>
      </w:r>
    </w:p>
    <w:p>
      <w:pPr>
        <w:keepNext w:val="0"/>
        <w:keepLines w:val="0"/>
        <w:pageBreakBefore w:val="0"/>
        <w:widowControl w:val="0"/>
        <w:kinsoku/>
        <w:wordWrap/>
        <w:overflowPunct/>
        <w:topLinePunct w:val="0"/>
        <w:autoSpaceDE/>
        <w:autoSpaceDN/>
        <w:bidi w:val="0"/>
        <w:adjustRightInd/>
        <w:spacing w:line="640" w:lineRule="exact"/>
        <w:ind w:left="0" w:leftChars="0"/>
        <w:jc w:val="center"/>
        <w:textAlignment w:val="auto"/>
        <w:rPr>
          <w:rFonts w:ascii="宋体" w:hAnsi="宋体" w:eastAsia="宋体"/>
          <w:b/>
          <w:bCs/>
          <w:sz w:val="44"/>
          <w:szCs w:val="44"/>
        </w:rPr>
      </w:pPr>
    </w:p>
    <w:p>
      <w:pPr>
        <w:keepNext w:val="0"/>
        <w:keepLines w:val="0"/>
        <w:pageBreakBefore w:val="0"/>
        <w:widowControl w:val="0"/>
        <w:kinsoku/>
        <w:wordWrap/>
        <w:overflowPunct/>
        <w:topLinePunct w:val="0"/>
        <w:autoSpaceDE/>
        <w:autoSpaceDN/>
        <w:bidi w:val="0"/>
        <w:adjustRightInd/>
        <w:spacing w:line="640" w:lineRule="exact"/>
        <w:ind w:left="0" w:left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北京市法学会202</w:t>
      </w:r>
      <w:r>
        <w:rPr>
          <w:rFonts w:hint="eastAsia" w:ascii="方正小标宋_GBK" w:hAnsi="方正小标宋_GBK" w:eastAsia="方正小标宋_GBK" w:cs="方正小标宋_GBK"/>
          <w:b w:val="0"/>
          <w:bCs w:val="0"/>
          <w:sz w:val="44"/>
          <w:szCs w:val="44"/>
          <w:lang w:val="en-US" w:eastAsia="zh-CN"/>
        </w:rPr>
        <w:t>5</w:t>
      </w:r>
      <w:r>
        <w:rPr>
          <w:rFonts w:hint="eastAsia" w:ascii="方正小标宋_GBK" w:hAnsi="方正小标宋_GBK" w:eastAsia="方正小标宋_GBK" w:cs="方正小标宋_GBK"/>
          <w:b w:val="0"/>
          <w:bCs w:val="0"/>
          <w:sz w:val="44"/>
          <w:szCs w:val="44"/>
        </w:rPr>
        <w:t>年市级法学研究课题</w:t>
      </w:r>
      <w:r>
        <w:rPr>
          <w:rFonts w:hint="eastAsia" w:ascii="方正小标宋_GBK" w:hAnsi="方正小标宋_GBK" w:eastAsia="方正小标宋_GBK" w:cs="方正小标宋_GBK"/>
          <w:b w:val="0"/>
          <w:bCs w:val="0"/>
          <w:sz w:val="44"/>
          <w:szCs w:val="44"/>
          <w:lang w:eastAsia="zh-CN"/>
        </w:rPr>
        <w:t>指南</w:t>
      </w:r>
    </w:p>
    <w:p>
      <w:pPr>
        <w:pStyle w:val="2"/>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firstLine="640" w:firstLineChars="200"/>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重点课题（10项）</w:t>
      </w:r>
    </w:p>
    <w:p>
      <w:pPr>
        <w:ind w:firstLine="640" w:firstLineChars="200"/>
        <w:rPr>
          <w:rFonts w:hint="eastAsia" w:ascii="方正仿宋_GBK" w:hAnsi="方正仿宋_GBK" w:eastAsia="方正仿宋_GBK" w:cs="方正仿宋_GBK"/>
          <w:sz w:val="32"/>
          <w:szCs w:val="32"/>
          <w:lang w:eastAsia="zh-CN"/>
        </w:rPr>
      </w:pPr>
      <w:r>
        <w:rPr>
          <w:rFonts w:hint="eastAsia" w:ascii="CESI仿宋-GB2312" w:hAnsi="CESI仿宋-GB2312" w:eastAsia="CESI仿宋-GB2312" w:cs="CESI仿宋-GB2312"/>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习近平法治思想在北京的立法实践与深化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2.建构中国自主的监察法学知识体系研究</w:t>
      </w:r>
    </w:p>
    <w:p>
      <w:pPr>
        <w:keepNext w:val="0"/>
        <w:keepLines w:val="0"/>
        <w:widowControl w:val="0"/>
        <w:suppressLineNumbers w:val="0"/>
        <w:ind w:firstLine="640" w:firstLineChars="200"/>
        <w:jc w:val="both"/>
        <w:rPr>
          <w:rFonts w:hint="eastAsia" w:ascii="CESI仿宋-GB2312" w:hAnsi="CESI仿宋-GB2312" w:eastAsia="CESI仿宋-GB2312" w:cs="CESI仿宋-GB2312"/>
          <w:b w:val="0"/>
          <w:bCs w:val="0"/>
          <w:color w:val="auto"/>
          <w:sz w:val="32"/>
          <w:szCs w:val="32"/>
          <w:highlight w:val="none"/>
          <w:lang w:val="en-US" w:eastAsia="zh-CN"/>
        </w:rPr>
      </w:pPr>
      <w:r>
        <w:rPr>
          <w:rFonts w:hint="eastAsia" w:ascii="CESI仿宋-GB2312" w:hAnsi="CESI仿宋-GB2312" w:eastAsia="CESI仿宋-GB2312" w:cs="CESI仿宋-GB2312"/>
          <w:b w:val="0"/>
          <w:bCs w:val="0"/>
          <w:color w:val="auto"/>
          <w:sz w:val="32"/>
          <w:szCs w:val="32"/>
          <w:highlight w:val="none"/>
          <w:lang w:val="en-US" w:eastAsia="zh-CN"/>
        </w:rPr>
        <w:t>3.</w:t>
      </w:r>
      <w:r>
        <w:rPr>
          <w:rFonts w:hint="eastAsia" w:ascii="CESI仿宋-GB2312" w:hAnsi="CESI仿宋-GB2312" w:eastAsia="CESI仿宋-GB2312" w:cs="CESI仿宋-GB2312"/>
          <w:b w:val="0"/>
          <w:bCs w:val="0"/>
          <w:sz w:val="32"/>
          <w:szCs w:val="32"/>
          <w:lang w:val="en-US" w:eastAsia="zh-CN"/>
        </w:rPr>
        <w:t>党内法规在习近平法治思想中的定位和价值研究</w:t>
      </w:r>
    </w:p>
    <w:p>
      <w:pPr>
        <w:keepNext w:val="0"/>
        <w:keepLines w:val="0"/>
        <w:widowControl w:val="0"/>
        <w:suppressLineNumbers w:val="0"/>
        <w:ind w:firstLine="640" w:firstLineChars="200"/>
        <w:jc w:val="both"/>
        <w:rPr>
          <w:rFonts w:hint="eastAsia" w:ascii="CESI仿宋-GB2312" w:hAnsi="CESI仿宋-GB2312" w:eastAsia="CESI仿宋-GB2312" w:cs="CESI仿宋-GB2312"/>
          <w:b w:val="0"/>
          <w:bCs w:val="0"/>
          <w:sz w:val="32"/>
          <w:szCs w:val="32"/>
          <w:highlight w:val="none"/>
          <w:lang w:val="en-US" w:eastAsia="zh-CN"/>
        </w:rPr>
      </w:pPr>
      <w:r>
        <w:rPr>
          <w:rFonts w:hint="eastAsia" w:ascii="CESI仿宋-GB2312" w:hAnsi="CESI仿宋-GB2312" w:eastAsia="CESI仿宋-GB2312" w:cs="CESI仿宋-GB2312"/>
          <w:b w:val="0"/>
          <w:bCs w:val="0"/>
          <w:sz w:val="32"/>
          <w:szCs w:val="32"/>
          <w:lang w:val="en-US" w:eastAsia="zh-CN"/>
        </w:rPr>
        <w:t>4.围绕</w:t>
      </w:r>
      <w:r>
        <w:rPr>
          <w:rFonts w:hint="eastAsia" w:ascii="CESI仿宋-GB2312" w:hAnsi="CESI仿宋-GB2312" w:eastAsia="CESI仿宋-GB2312" w:cs="CESI仿宋-GB2312"/>
          <w:sz w:val="32"/>
          <w:szCs w:val="32"/>
        </w:rPr>
        <w:t>“一带一路”</w:t>
      </w:r>
      <w:r>
        <w:rPr>
          <w:rFonts w:hint="eastAsia" w:ascii="CESI仿宋-GB2312" w:hAnsi="CESI仿宋-GB2312" w:eastAsia="CESI仿宋-GB2312" w:cs="CESI仿宋-GB2312"/>
          <w:sz w:val="32"/>
          <w:szCs w:val="32"/>
          <w:lang w:eastAsia="zh-CN"/>
        </w:rPr>
        <w:t>战略加强</w:t>
      </w:r>
      <w:r>
        <w:rPr>
          <w:rFonts w:hint="eastAsia" w:ascii="CESI仿宋-GB2312" w:hAnsi="CESI仿宋-GB2312" w:eastAsia="CESI仿宋-GB2312" w:cs="CESI仿宋-GB2312"/>
          <w:sz w:val="32"/>
          <w:szCs w:val="32"/>
        </w:rPr>
        <w:t>涉外法治</w:t>
      </w:r>
      <w:r>
        <w:rPr>
          <w:rFonts w:hint="eastAsia" w:ascii="CESI仿宋-GB2312" w:hAnsi="CESI仿宋-GB2312" w:eastAsia="CESI仿宋-GB2312" w:cs="CESI仿宋-GB2312"/>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方正仿宋_GBK" w:hAnsi="方正仿宋_GBK" w:eastAsia="方正仿宋_GBK" w:cs="方正仿宋_GBK"/>
          <w:b w:val="0"/>
          <w:bCs w:val="0"/>
          <w:i w:val="0"/>
          <w:caps w:val="0"/>
          <w:color w:val="000000"/>
          <w:spacing w:val="0"/>
          <w:sz w:val="32"/>
          <w:szCs w:val="32"/>
          <w:lang w:val="en-US" w:eastAsia="zh-CN"/>
        </w:rPr>
      </w:pPr>
      <w:r>
        <w:rPr>
          <w:rFonts w:hint="eastAsia" w:ascii="CESI仿宋-GB2312" w:hAnsi="CESI仿宋-GB2312" w:eastAsia="CESI仿宋-GB2312" w:cs="CESI仿宋-GB2312"/>
          <w:b w:val="0"/>
          <w:bCs w:val="0"/>
          <w:sz w:val="32"/>
          <w:szCs w:val="32"/>
          <w:lang w:val="en-US" w:eastAsia="zh-CN"/>
        </w:rPr>
        <w:t>5.</w:t>
      </w:r>
      <w:r>
        <w:rPr>
          <w:rFonts w:hint="eastAsia" w:ascii="方正仿宋_GBK" w:hAnsi="方正仿宋_GBK" w:eastAsia="方正仿宋_GBK" w:cs="方正仿宋_GBK"/>
          <w:b w:val="0"/>
          <w:bCs w:val="0"/>
          <w:i w:val="0"/>
          <w:caps w:val="0"/>
          <w:color w:val="000000"/>
          <w:spacing w:val="0"/>
          <w:sz w:val="32"/>
          <w:szCs w:val="32"/>
          <w:lang w:val="en-US" w:eastAsia="zh-CN"/>
        </w:rPr>
        <w:t>规范裁量权行使促进法律统一适用研究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6.集团企业破产风险化解的司法路径研究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highlight w:val="none"/>
          <w:lang w:val="en-US" w:eastAsia="zh-CN"/>
        </w:rPr>
        <w:t>新型网络犯罪司法认定疑难问题研究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8.</w:t>
      </w:r>
      <w:r>
        <w:rPr>
          <w:rFonts w:hint="eastAsia" w:ascii="方正仿宋_GBK" w:hAnsi="方正仿宋_GBK" w:eastAsia="方正仿宋_GBK" w:cs="方正仿宋_GBK"/>
          <w:b w:val="0"/>
          <w:bCs w:val="0"/>
          <w:color w:val="auto"/>
          <w:sz w:val="32"/>
          <w:szCs w:val="32"/>
          <w:lang w:val="en-US" w:eastAsia="zh-CN"/>
        </w:rPr>
        <w:t>公安机关服务保障营商环境问题研究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color w:val="auto"/>
          <w:sz w:val="32"/>
          <w:szCs w:val="32"/>
          <w:lang w:val="en-US" w:eastAsia="zh-CN"/>
        </w:rPr>
        <w:t>9.</w:t>
      </w:r>
      <w:r>
        <w:rPr>
          <w:rFonts w:hint="eastAsia" w:ascii="CESI仿宋-GB2312" w:hAnsi="CESI仿宋-GB2312" w:eastAsia="CESI仿宋-GB2312" w:cs="CESI仿宋-GB2312"/>
          <w:b w:val="0"/>
          <w:bCs w:val="0"/>
          <w:sz w:val="32"/>
          <w:szCs w:val="32"/>
          <w:lang w:val="en-US" w:eastAsia="zh-CN"/>
        </w:rPr>
        <w:t>《北京市城市更新条例》实施中行政审批工作的优化与创新研究</w:t>
      </w:r>
    </w:p>
    <w:p>
      <w:pPr>
        <w:pStyle w:val="2"/>
        <w:spacing w:after="0"/>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10.超大城市社区治理法治化研究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二、专项</w:t>
      </w:r>
      <w:bookmarkStart w:id="0" w:name="_GoBack"/>
      <w:bookmarkEnd w:id="0"/>
      <w:r>
        <w:rPr>
          <w:rFonts w:hint="eastAsia" w:ascii="方正黑体_GBK" w:hAnsi="方正黑体_GBK" w:eastAsia="方正黑体_GBK" w:cs="方正黑体_GBK"/>
          <w:b w:val="0"/>
          <w:bCs w:val="0"/>
          <w:color w:val="auto"/>
          <w:sz w:val="32"/>
          <w:szCs w:val="32"/>
          <w:lang w:val="en-US" w:eastAsia="zh-CN"/>
        </w:rPr>
        <w:t>课题（20项）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1.以新质公安战斗力推进京津冀警务合作新路径研究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val="0"/>
          <w:bCs w:val="0"/>
          <w:sz w:val="32"/>
          <w:szCs w:val="32"/>
          <w:lang w:val="en-US" w:eastAsia="zh-CN"/>
        </w:rPr>
        <w:t>2.</w:t>
      </w:r>
      <w:r>
        <w:rPr>
          <w:rFonts w:hint="eastAsia" w:ascii="CESI仿宋-GB2312" w:hAnsi="CESI仿宋-GB2312" w:eastAsia="CESI仿宋-GB2312" w:cs="CESI仿宋-GB2312"/>
          <w:sz w:val="32"/>
          <w:szCs w:val="32"/>
        </w:rPr>
        <w:t>涉案财物处置机制</w:t>
      </w:r>
      <w:r>
        <w:rPr>
          <w:rFonts w:hint="eastAsia" w:ascii="CESI仿宋-GB2312" w:hAnsi="CESI仿宋-GB2312" w:eastAsia="CESI仿宋-GB2312" w:cs="CESI仿宋-GB2312"/>
          <w:sz w:val="32"/>
          <w:szCs w:val="32"/>
          <w:lang w:eastAsia="zh-CN"/>
        </w:rPr>
        <w:t>优</w:t>
      </w:r>
      <w:r>
        <w:rPr>
          <w:rFonts w:hint="eastAsia" w:ascii="CESI仿宋-GB2312" w:hAnsi="CESI仿宋-GB2312" w:eastAsia="CESI仿宋-GB2312" w:cs="CESI仿宋-GB2312"/>
          <w:sz w:val="32"/>
          <w:szCs w:val="32"/>
        </w:rPr>
        <w:t>化路径研究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3.惩罚性赔偿司法适用问题研究</w:t>
      </w:r>
    </w:p>
    <w:p>
      <w:pPr>
        <w:ind w:firstLine="640"/>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highlight w:val="none"/>
          <w:lang w:val="en-US" w:eastAsia="zh-CN"/>
        </w:rPr>
        <w:t>4.</w:t>
      </w:r>
      <w:r>
        <w:rPr>
          <w:rFonts w:hint="eastAsia" w:ascii="CESI仿宋-GB2312" w:hAnsi="CESI仿宋-GB2312" w:eastAsia="CESI仿宋-GB2312" w:cs="CESI仿宋-GB2312"/>
          <w:b w:val="0"/>
          <w:bCs w:val="0"/>
          <w:sz w:val="32"/>
          <w:szCs w:val="32"/>
          <w:lang w:val="en-US" w:eastAsia="zh-CN"/>
        </w:rPr>
        <w:t>电信网络诈骗犯罪的预防研究</w:t>
      </w:r>
    </w:p>
    <w:p>
      <w:pPr>
        <w:rPr>
          <w:rFonts w:hint="default"/>
          <w:lang w:val="en-US" w:eastAsia="zh-CN"/>
        </w:rPr>
      </w:pPr>
      <w:r>
        <w:rPr>
          <w:rFonts w:hint="eastAsia" w:ascii="CESI仿宋-GB2312" w:hAnsi="CESI仿宋-GB2312" w:eastAsia="CESI仿宋-GB2312" w:cs="CESI仿宋-GB2312"/>
          <w:b w:val="0"/>
          <w:bCs w:val="0"/>
          <w:sz w:val="32"/>
          <w:szCs w:val="32"/>
          <w:lang w:val="en-US" w:eastAsia="zh-CN"/>
        </w:rPr>
        <w:t xml:space="preserve">    5.全面准确贯彻宽严相济刑事政策导向下我国轻微犯罪记录封存制度构建研究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CESI仿宋-GB2312" w:hAnsi="CESI仿宋-GB2312" w:eastAsia="CESI仿宋-GB2312" w:cs="CESI仿宋-GB2312"/>
          <w:b w:val="0"/>
          <w:bCs w:val="0"/>
          <w:color w:val="auto"/>
          <w:sz w:val="32"/>
          <w:szCs w:val="32"/>
          <w:lang w:val="en-US" w:eastAsia="zh-CN"/>
        </w:rPr>
        <w:t>6</w:t>
      </w:r>
      <w:r>
        <w:rPr>
          <w:rFonts w:hint="eastAsia" w:ascii="CESI仿宋-GB2312" w:hAnsi="CESI仿宋-GB2312" w:eastAsia="CESI仿宋-GB2312" w:cs="CESI仿宋-GB2312"/>
          <w:b w:val="0"/>
          <w:bCs w:val="0"/>
          <w:color w:val="auto"/>
          <w:sz w:val="32"/>
          <w:szCs w:val="32"/>
          <w:lang w:val="en-US" w:eastAsia="zh-CN"/>
        </w:rPr>
        <w:t>.金融数据</w:t>
      </w:r>
      <w:r>
        <w:rPr>
          <w:rFonts w:hint="eastAsia" w:ascii="仿宋_GB2312" w:hAnsi="仿宋_GB2312" w:eastAsia="仿宋_GB2312" w:cs="仿宋_GB2312"/>
          <w:color w:val="auto"/>
          <w:sz w:val="32"/>
          <w:szCs w:val="32"/>
        </w:rPr>
        <w:t>空间的法律定性与可信治理</w:t>
      </w:r>
      <w:r>
        <w:rPr>
          <w:rFonts w:hint="eastAsia" w:ascii="仿宋_GB2312" w:hAnsi="仿宋_GB2312" w:eastAsia="仿宋_GB2312" w:cs="仿宋_GB2312"/>
          <w:color w:val="auto"/>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val="en-US" w:eastAsia="zh-CN"/>
        </w:rPr>
        <w:t>7</w:t>
      </w:r>
      <w:r>
        <w:rPr>
          <w:rFonts w:hint="eastAsia" w:ascii="CESI仿宋-GB2312" w:hAnsi="CESI仿宋-GB2312" w:eastAsia="CESI仿宋-GB2312" w:cs="CESI仿宋-GB2312"/>
          <w:b w:val="0"/>
          <w:bCs w:val="0"/>
          <w:sz w:val="32"/>
          <w:szCs w:val="32"/>
          <w:lang w:val="en-US" w:eastAsia="zh-CN"/>
        </w:rPr>
        <w:t>.欧美数据法域外适用扩张的应对策略研究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val="en-US" w:eastAsia="zh-CN"/>
        </w:rPr>
        <w:t>8</w:t>
      </w:r>
      <w:r>
        <w:rPr>
          <w:rFonts w:hint="eastAsia" w:ascii="CESI仿宋-GB2312" w:hAnsi="CESI仿宋-GB2312" w:eastAsia="CESI仿宋-GB2312" w:cs="CESI仿宋-GB2312"/>
          <w:b w:val="0"/>
          <w:bCs w:val="0"/>
          <w:sz w:val="32"/>
          <w:szCs w:val="32"/>
          <w:lang w:val="en-US" w:eastAsia="zh-CN"/>
        </w:rPr>
        <w:t>.</w:t>
      </w:r>
      <w:r>
        <w:rPr>
          <w:rFonts w:hint="eastAsia" w:ascii="方正仿宋_GBK" w:hAnsi="方正仿宋_GBK" w:eastAsia="方正仿宋_GBK" w:cs="方正仿宋_GBK"/>
          <w:b w:val="0"/>
          <w:bCs w:val="0"/>
          <w:i w:val="0"/>
          <w:caps w:val="0"/>
          <w:color w:val="auto"/>
          <w:spacing w:val="0"/>
          <w:sz w:val="32"/>
          <w:szCs w:val="32"/>
          <w:shd w:val="clear" w:color="auto" w:fill="FFFFFF"/>
        </w:rPr>
        <w:t>DeepSeek在司法裁判中的应用与风险规制</w:t>
      </w:r>
      <w:r>
        <w:rPr>
          <w:rFonts w:hint="eastAsia" w:ascii="方正仿宋_GBK" w:hAnsi="方正仿宋_GBK" w:eastAsia="方正仿宋_GBK" w:cs="方正仿宋_GBK"/>
          <w:b w:val="0"/>
          <w:bCs w:val="0"/>
          <w:i w:val="0"/>
          <w:caps w:val="0"/>
          <w:color w:val="auto"/>
          <w:spacing w:val="0"/>
          <w:sz w:val="32"/>
          <w:szCs w:val="32"/>
          <w:shd w:val="clear" w:color="auto" w:fill="FFFFFF"/>
          <w:lang w:eastAsia="zh-CN"/>
        </w:rPr>
        <w:t>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default" w:ascii="CESI仿宋-GB2312" w:hAnsi="CESI仿宋-GB2312" w:eastAsia="CESI仿宋-GB2312" w:cs="CESI仿宋-GB2312"/>
          <w:b w:val="0"/>
          <w:bCs w:val="0"/>
          <w:sz w:val="32"/>
          <w:szCs w:val="32"/>
          <w:lang w:val="en-US" w:eastAsia="zh-CN"/>
        </w:rPr>
        <w:t>9</w:t>
      </w:r>
      <w:r>
        <w:rPr>
          <w:rFonts w:hint="eastAsia" w:ascii="CESI仿宋-GB2312" w:hAnsi="CESI仿宋-GB2312" w:eastAsia="CESI仿宋-GB2312" w:cs="CESI仿宋-GB2312"/>
          <w:b w:val="0"/>
          <w:bCs w:val="0"/>
          <w:sz w:val="32"/>
          <w:szCs w:val="32"/>
          <w:lang w:val="en-US" w:eastAsia="zh-CN"/>
        </w:rPr>
        <w:t>.脑机接口的法律规制研究</w:t>
      </w:r>
    </w:p>
    <w:p>
      <w:pPr>
        <w:ind w:firstLine="640"/>
        <w:rPr>
          <w:rFonts w:hint="eastAsia" w:ascii="CESI仿宋-GB2312" w:hAnsi="CESI仿宋-GB2312" w:eastAsia="CESI仿宋-GB2312" w:cs="CESI仿宋-GB2312"/>
          <w:b w:val="0"/>
          <w:bCs w:val="0"/>
          <w:color w:val="auto"/>
          <w:sz w:val="32"/>
          <w:szCs w:val="32"/>
          <w:lang w:val="en-US" w:eastAsia="zh-CN"/>
        </w:rPr>
      </w:pPr>
      <w:r>
        <w:rPr>
          <w:rFonts w:hint="default" w:ascii="CESI仿宋-GB2312" w:hAnsi="CESI仿宋-GB2312" w:eastAsia="CESI仿宋-GB2312" w:cs="CESI仿宋-GB2312"/>
          <w:b w:val="0"/>
          <w:bCs w:val="0"/>
          <w:sz w:val="32"/>
          <w:szCs w:val="32"/>
          <w:lang w:val="en-US" w:eastAsia="zh-CN"/>
        </w:rPr>
        <w:t>10</w:t>
      </w:r>
      <w:r>
        <w:rPr>
          <w:rFonts w:hint="eastAsia" w:ascii="CESI仿宋-GB2312" w:hAnsi="CESI仿宋-GB2312" w:eastAsia="CESI仿宋-GB2312" w:cs="CESI仿宋-GB2312"/>
          <w:b w:val="0"/>
          <w:bCs w:val="0"/>
          <w:sz w:val="32"/>
          <w:szCs w:val="32"/>
          <w:lang w:val="en-US" w:eastAsia="zh-CN"/>
        </w:rPr>
        <w:t>.文化产业中人工智能挑战的法律应对研究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color w:val="auto"/>
          <w:sz w:val="32"/>
          <w:szCs w:val="32"/>
          <w:highlight w:val="none"/>
          <w:lang w:val="en-US" w:eastAsia="zh-CN"/>
        </w:rPr>
        <w:t>11.</w:t>
      </w:r>
      <w:r>
        <w:rPr>
          <w:rFonts w:hint="eastAsia" w:ascii="CESI仿宋-GB2312" w:hAnsi="CESI仿宋-GB2312" w:eastAsia="CESI仿宋-GB2312" w:cs="CESI仿宋-GB2312"/>
          <w:b w:val="0"/>
          <w:bCs w:val="0"/>
          <w:sz w:val="32"/>
          <w:szCs w:val="32"/>
          <w:lang w:val="en-US" w:eastAsia="zh-CN"/>
        </w:rPr>
        <w:t>北京市非物质文化遗产的知识产权保护研究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color w:val="auto"/>
          <w:sz w:val="32"/>
          <w:szCs w:val="32"/>
          <w:lang w:val="en-US" w:eastAsia="zh-CN"/>
        </w:rPr>
        <w:t>12.</w:t>
      </w:r>
      <w:r>
        <w:rPr>
          <w:rFonts w:hint="eastAsia" w:ascii="方正仿宋_GBK" w:hAnsi="方正仿宋_GBK" w:eastAsia="方正仿宋_GBK" w:cs="方正仿宋_GBK"/>
          <w:i w:val="0"/>
          <w:caps w:val="0"/>
          <w:color w:val="auto"/>
          <w:spacing w:val="0"/>
          <w:kern w:val="0"/>
          <w:sz w:val="32"/>
          <w:szCs w:val="32"/>
          <w:highlight w:val="none"/>
          <w:shd w:val="clear" w:color="auto" w:fill="FFFFFF"/>
          <w:lang w:val="en-US" w:eastAsia="zh-CN" w:bidi="ar"/>
        </w:rPr>
        <w:t>健全铸牢中华民族共同体意识制度机制研究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CESI仿宋-GB2312" w:hAnsi="CESI仿宋-GB2312" w:eastAsia="CESI仿宋-GB2312" w:cs="CESI仿宋-GB2312"/>
          <w:b w:val="0"/>
          <w:bCs w:val="0"/>
          <w:sz w:val="32"/>
          <w:szCs w:val="32"/>
          <w:lang w:val="en-US" w:eastAsia="zh-CN"/>
        </w:rPr>
        <w:t>13.数据知识产权的竞争法保护路径研究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CESI仿宋-GB2312" w:hAnsi="CESI仿宋-GB2312" w:eastAsia="CESI仿宋-GB2312" w:cs="CESI仿宋-GB2312"/>
          <w:b w:val="0"/>
          <w:bCs w:val="0"/>
          <w:sz w:val="32"/>
          <w:szCs w:val="32"/>
          <w:lang w:val="en-US" w:eastAsia="zh-CN"/>
        </w:rPr>
        <w:t>14.</w:t>
      </w:r>
      <w:r>
        <w:rPr>
          <w:rFonts w:hint="eastAsia" w:ascii="仿宋_GB2312" w:hAnsi="仿宋_GB2312" w:eastAsia="仿宋_GB2312" w:cs="仿宋_GB2312"/>
          <w:color w:val="auto"/>
          <w:sz w:val="32"/>
          <w:szCs w:val="32"/>
        </w:rPr>
        <w:t>北京农产品地理标志国际发展策略研究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color w:val="auto"/>
          <w:sz w:val="32"/>
          <w:szCs w:val="32"/>
          <w:highlight w:val="none"/>
          <w:lang w:val="en-US" w:eastAsia="zh-CN"/>
        </w:rPr>
      </w:pPr>
      <w:r>
        <w:rPr>
          <w:rFonts w:hint="eastAsia" w:ascii="CESI仿宋-GB2312" w:hAnsi="CESI仿宋-GB2312" w:eastAsia="CESI仿宋-GB2312" w:cs="CESI仿宋-GB2312"/>
          <w:b w:val="0"/>
          <w:bCs w:val="0"/>
          <w:color w:val="auto"/>
          <w:sz w:val="32"/>
          <w:szCs w:val="32"/>
          <w:highlight w:val="none"/>
          <w:lang w:val="en-US" w:eastAsia="zh-CN"/>
        </w:rPr>
        <w:t>15.</w:t>
      </w:r>
      <w:r>
        <w:rPr>
          <w:rFonts w:hint="eastAsia" w:ascii="CESI仿宋-GB2312" w:hAnsi="CESI仿宋-GB2312" w:eastAsia="CESI仿宋-GB2312" w:cs="CESI仿宋-GB2312"/>
          <w:b w:val="0"/>
          <w:bCs w:val="0"/>
          <w:sz w:val="32"/>
          <w:szCs w:val="32"/>
          <w:lang w:val="en-US" w:eastAsia="zh-CN"/>
        </w:rPr>
        <w:t>检察监督和人大监督贯通协调促进社会治理的基层实践与创新研究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color w:val="auto"/>
          <w:kern w:val="2"/>
          <w:sz w:val="32"/>
          <w:szCs w:val="32"/>
          <w:lang w:val="en-US" w:eastAsia="zh-CN" w:bidi="ar-SA"/>
        </w:rPr>
      </w:pPr>
      <w:r>
        <w:rPr>
          <w:rFonts w:hint="eastAsia" w:ascii="CESI仿宋-GB2312" w:hAnsi="CESI仿宋-GB2312" w:eastAsia="CESI仿宋-GB2312" w:cs="CESI仿宋-GB2312"/>
          <w:b w:val="0"/>
          <w:bCs w:val="0"/>
          <w:sz w:val="32"/>
          <w:szCs w:val="32"/>
          <w:lang w:val="en-US" w:eastAsia="zh-CN"/>
        </w:rPr>
        <w:t>16.</w:t>
      </w:r>
      <w:r>
        <w:rPr>
          <w:rFonts w:hint="eastAsia" w:ascii="CESI仿宋-GB2312" w:hAnsi="CESI仿宋-GB2312" w:eastAsia="CESI仿宋-GB2312" w:cs="CESI仿宋-GB2312"/>
          <w:b w:val="0"/>
          <w:bCs w:val="0"/>
          <w:color w:val="auto"/>
          <w:sz w:val="32"/>
          <w:szCs w:val="32"/>
          <w:highlight w:val="none"/>
          <w:lang w:val="en-US" w:eastAsia="zh-CN"/>
        </w:rPr>
        <w:t>北京市配合建立</w:t>
      </w:r>
      <w:r>
        <w:rPr>
          <w:rFonts w:hint="eastAsia" w:ascii="方正仿宋_GBK" w:hAnsi="方正仿宋_GBK" w:eastAsia="方正仿宋_GBK" w:cs="方正仿宋_GBK"/>
          <w:color w:val="auto"/>
          <w:sz w:val="32"/>
          <w:szCs w:val="32"/>
          <w:highlight w:val="none"/>
          <w:lang w:eastAsia="zh-CN"/>
        </w:rPr>
        <w:t>个人破产制度路径</w:t>
      </w:r>
      <w:r>
        <w:rPr>
          <w:rFonts w:hint="eastAsia" w:ascii="CESI仿宋-GB2312" w:hAnsi="CESI仿宋-GB2312" w:eastAsia="CESI仿宋-GB2312" w:cs="CESI仿宋-GB2312"/>
          <w:b w:val="0"/>
          <w:bCs w:val="0"/>
          <w:color w:val="auto"/>
          <w:sz w:val="32"/>
          <w:szCs w:val="32"/>
          <w:highlight w:val="none"/>
          <w:lang w:val="en-US" w:eastAsia="zh-CN"/>
        </w:rPr>
        <w:t>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17.</w:t>
      </w:r>
      <w:r>
        <w:rPr>
          <w:rFonts w:hint="eastAsia" w:ascii="CESI仿宋-GB2312" w:hAnsi="CESI仿宋-GB2312" w:eastAsia="CESI仿宋-GB2312" w:cs="CESI仿宋-GB2312"/>
          <w:b w:val="0"/>
          <w:bCs w:val="0"/>
          <w:color w:val="auto"/>
          <w:kern w:val="2"/>
          <w:sz w:val="32"/>
          <w:szCs w:val="32"/>
          <w:lang w:val="en-US" w:eastAsia="zh-CN" w:bidi="ar-SA"/>
        </w:rPr>
        <w:t>律师参与人民调解新模式研究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18.完善住宅物业酬金制法律制度研究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contextualSpacing/>
        <w:jc w:val="left"/>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val="en-US" w:eastAsia="zh-CN"/>
        </w:rPr>
        <w:t>19.北京市落实生育支持政策体系的法律保障机制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CESI仿宋-GB2312" w:hAnsi="CESI仿宋-GB2312" w:eastAsia="CESI仿宋-GB2312" w:cs="CESI仿宋-GB2312"/>
          <w:b w:val="0"/>
          <w:bCs w:val="0"/>
          <w:sz w:val="32"/>
          <w:szCs w:val="32"/>
          <w:highlight w:val="none"/>
          <w:lang w:val="en-US" w:eastAsia="zh-CN"/>
        </w:rPr>
      </w:pPr>
      <w:r>
        <w:rPr>
          <w:rFonts w:hint="eastAsia" w:ascii="CESI仿宋-GB2312" w:hAnsi="CESI仿宋-GB2312" w:eastAsia="CESI仿宋-GB2312" w:cs="CESI仿宋-GB2312"/>
          <w:b w:val="0"/>
          <w:bCs w:val="0"/>
          <w:sz w:val="32"/>
          <w:szCs w:val="32"/>
          <w:highlight w:val="none"/>
          <w:lang w:val="en-US" w:eastAsia="zh-CN"/>
        </w:rPr>
        <w:t>20.</w:t>
      </w:r>
      <w:r>
        <w:rPr>
          <w:rFonts w:hint="eastAsia" w:ascii="CESI仿宋-GB2312" w:hAnsi="CESI仿宋-GB2312" w:eastAsia="CESI仿宋-GB2312" w:cs="CESI仿宋-GB2312"/>
          <w:b w:val="0"/>
          <w:bCs w:val="0"/>
          <w:sz w:val="32"/>
          <w:szCs w:val="32"/>
          <w:lang w:val="en-US" w:eastAsia="zh-CN"/>
        </w:rPr>
        <w:t>渐进式延迟退休改革背景下劳动法制改革研究</w:t>
      </w:r>
    </w:p>
    <w:p>
      <w:pPr>
        <w:keepNext w:val="0"/>
        <w:keepLines w:val="0"/>
        <w:pageBreakBefore w:val="0"/>
        <w:widowControl w:val="0"/>
        <w:kinsoku/>
        <w:wordWrap/>
        <w:overflowPunct/>
        <w:topLinePunct w:val="0"/>
        <w:autoSpaceDE/>
        <w:autoSpaceDN/>
        <w:bidi w:val="0"/>
        <w:adjustRightInd/>
        <w:spacing w:line="640" w:lineRule="exact"/>
        <w:ind w:left="0" w:leftChars="0" w:firstLine="640" w:firstLineChars="200"/>
        <w:textAlignment w:val="auto"/>
      </w:pPr>
      <w:r>
        <w:rPr>
          <w:rFonts w:hint="eastAsia" w:ascii="黑体" w:hAnsi="黑体" w:eastAsia="黑体"/>
          <w:sz w:val="32"/>
          <w:szCs w:val="32"/>
        </w:rPr>
        <w:t>三、青年课题（10项，题目自拟）</w:t>
      </w:r>
    </w:p>
    <w:p/>
    <w:sectPr>
      <w:pgSz w:w="11906" w:h="16838"/>
      <w:pgMar w:top="1440" w:right="1289" w:bottom="1134" w:left="15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7646E"/>
    <w:multiLevelType w:val="singleLevel"/>
    <w:tmpl w:val="FFD7646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389"/>
    <w:rsid w:val="00084780"/>
    <w:rsid w:val="000A3389"/>
    <w:rsid w:val="00130F9D"/>
    <w:rsid w:val="001926DA"/>
    <w:rsid w:val="0019468A"/>
    <w:rsid w:val="001B4926"/>
    <w:rsid w:val="001C384F"/>
    <w:rsid w:val="001C605A"/>
    <w:rsid w:val="00247BE4"/>
    <w:rsid w:val="00294191"/>
    <w:rsid w:val="002B050E"/>
    <w:rsid w:val="002F0C43"/>
    <w:rsid w:val="00302812"/>
    <w:rsid w:val="00417230"/>
    <w:rsid w:val="00455C41"/>
    <w:rsid w:val="00487769"/>
    <w:rsid w:val="004A6277"/>
    <w:rsid w:val="004B3B86"/>
    <w:rsid w:val="004E4CC6"/>
    <w:rsid w:val="00501C63"/>
    <w:rsid w:val="00512EFD"/>
    <w:rsid w:val="00525DB1"/>
    <w:rsid w:val="00526301"/>
    <w:rsid w:val="0054185F"/>
    <w:rsid w:val="005472BC"/>
    <w:rsid w:val="0057607A"/>
    <w:rsid w:val="00577BB5"/>
    <w:rsid w:val="005E5126"/>
    <w:rsid w:val="00626E73"/>
    <w:rsid w:val="006B515D"/>
    <w:rsid w:val="006D7545"/>
    <w:rsid w:val="00735340"/>
    <w:rsid w:val="007448D1"/>
    <w:rsid w:val="007713BD"/>
    <w:rsid w:val="007E0E4C"/>
    <w:rsid w:val="007F2EC6"/>
    <w:rsid w:val="008021B2"/>
    <w:rsid w:val="00850552"/>
    <w:rsid w:val="00852DCE"/>
    <w:rsid w:val="008760F3"/>
    <w:rsid w:val="00901AEF"/>
    <w:rsid w:val="00994744"/>
    <w:rsid w:val="00A06FBA"/>
    <w:rsid w:val="00A11603"/>
    <w:rsid w:val="00A136BE"/>
    <w:rsid w:val="00A43790"/>
    <w:rsid w:val="00A640E4"/>
    <w:rsid w:val="00AA5911"/>
    <w:rsid w:val="00AB69BA"/>
    <w:rsid w:val="00AD097C"/>
    <w:rsid w:val="00B00B09"/>
    <w:rsid w:val="00B23D94"/>
    <w:rsid w:val="00B56EC0"/>
    <w:rsid w:val="00C36A99"/>
    <w:rsid w:val="00C44498"/>
    <w:rsid w:val="00C64009"/>
    <w:rsid w:val="00C658FE"/>
    <w:rsid w:val="00C83FE7"/>
    <w:rsid w:val="00CC6310"/>
    <w:rsid w:val="00D26DAC"/>
    <w:rsid w:val="00D91178"/>
    <w:rsid w:val="00D96EB0"/>
    <w:rsid w:val="00DF1906"/>
    <w:rsid w:val="00E12D18"/>
    <w:rsid w:val="00E74336"/>
    <w:rsid w:val="00EA70A6"/>
    <w:rsid w:val="00EF2374"/>
    <w:rsid w:val="00F72CBA"/>
    <w:rsid w:val="00F81947"/>
    <w:rsid w:val="00FB19EA"/>
    <w:rsid w:val="00FC584B"/>
    <w:rsid w:val="5FFC5230"/>
    <w:rsid w:val="7D7FC43A"/>
    <w:rsid w:val="ABFFDFD0"/>
    <w:rsid w:val="BFB77C17"/>
    <w:rsid w:val="F9F6C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firstLine="88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next w:val="4"/>
    <w:qFormat/>
    <w:uiPriority w:val="0"/>
    <w:pPr>
      <w:ind w:left="0" w:leftChars="0"/>
    </w:pPr>
    <w:rPr>
      <w:rFonts w:ascii="Calibri" w:hAnsi="Calibri" w:eastAsia="宋体" w:cs="Times New Roman"/>
    </w:rPr>
  </w:style>
  <w:style w:type="paragraph" w:styleId="4">
    <w:name w:val="Normal Indent"/>
    <w:basedOn w:val="1"/>
    <w:next w:val="3"/>
    <w:qFormat/>
    <w:uiPriority w:val="0"/>
    <w:pPr>
      <w:suppressAutoHyphens/>
      <w:ind w:firstLine="420" w:firstLineChars="200"/>
    </w:pPr>
    <w:rPr>
      <w:rFonts w:ascii="Calibri" w:hAnsi="Calibri"/>
    </w:rPr>
  </w:style>
  <w:style w:type="paragraph" w:styleId="5">
    <w:name w:val="Balloon Text"/>
    <w:basedOn w:val="1"/>
    <w:link w:val="15"/>
    <w:semiHidden/>
    <w:unhideWhenUsed/>
    <w:qFormat/>
    <w:uiPriority w:val="0"/>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jc w:val="left"/>
    </w:pPr>
    <w:rPr>
      <w:kern w:val="0"/>
      <w:sz w:val="24"/>
    </w:rPr>
  </w:style>
  <w:style w:type="character" w:styleId="12">
    <w:name w:val="Strong"/>
    <w:basedOn w:val="11"/>
    <w:qFormat/>
    <w:uiPriority w:val="0"/>
    <w:rPr>
      <w:b/>
    </w:rPr>
  </w:style>
  <w:style w:type="character" w:customStyle="1" w:styleId="13">
    <w:name w:val="页眉 字符"/>
    <w:link w:val="7"/>
    <w:qFormat/>
    <w:uiPriority w:val="99"/>
    <w:rPr>
      <w:sz w:val="18"/>
      <w:szCs w:val="18"/>
    </w:rPr>
  </w:style>
  <w:style w:type="character" w:customStyle="1" w:styleId="14">
    <w:name w:val="页脚 字符"/>
    <w:link w:val="6"/>
    <w:qFormat/>
    <w:uiPriority w:val="99"/>
    <w:rPr>
      <w:sz w:val="18"/>
      <w:szCs w:val="18"/>
    </w:rPr>
  </w:style>
  <w:style w:type="character" w:customStyle="1" w:styleId="15">
    <w:name w:val="批注框文本 字符"/>
    <w:link w:val="5"/>
    <w:semiHidden/>
    <w:qFormat/>
    <w:uiPriority w:val="0"/>
    <w:rPr>
      <w:rFonts w:ascii="等线" w:hAnsi="等线" w:eastAsia="等线" w:cs="黑体"/>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111</Words>
  <Characters>633</Characters>
  <Lines>5</Lines>
  <Paragraphs>1</Paragraphs>
  <TotalTime>1</TotalTime>
  <ScaleCrop>false</ScaleCrop>
  <LinksUpToDate>false</LinksUpToDate>
  <CharactersWithSpaces>743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2021-06-02T14:38:00Z</dcterms:created>
  <dc:creator>user</dc:creator>
  <cp:lastModifiedBy>lenovo</cp:lastModifiedBy>
  <cp:lastPrinted>2020-05-28T11:43:00Z</cp:lastPrinted>
  <dcterms:modified xsi:type="dcterms:W3CDTF">2025-04-23T14:41:56Z</dcterms:modified>
  <dc:title>北京市法学会2018年市级法学研究课题指南</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