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atLeast"/>
        <w:jc w:val="left"/>
        <w:rPr>
          <w:rFonts w:ascii="黑体" w:hAnsi="黑体" w:eastAsia="黑体" w:cs="黑体"/>
          <w:sz w:val="28"/>
          <w:szCs w:val="28"/>
        </w:rPr>
      </w:pPr>
      <w:r>
        <w:rPr>
          <w:rFonts w:hint="eastAsia" w:ascii="黑体" w:hAnsi="黑体" w:eastAsia="黑体" w:cs="黑体"/>
          <w:sz w:val="28"/>
          <w:szCs w:val="28"/>
        </w:rPr>
        <w:t>附件：</w:t>
      </w:r>
    </w:p>
    <w:p>
      <w:pPr>
        <w:snapToGrid w:val="0"/>
        <w:spacing w:line="560" w:lineRule="atLeast"/>
        <w:ind w:firstLine="722" w:firstLineChars="200"/>
        <w:jc w:val="center"/>
        <w:rPr>
          <w:rFonts w:ascii="黑体" w:hAnsi="黑体" w:eastAsia="黑体" w:cs="黑体"/>
          <w:b/>
          <w:bCs/>
          <w:sz w:val="36"/>
          <w:szCs w:val="36"/>
        </w:rPr>
      </w:pPr>
    </w:p>
    <w:p>
      <w:pPr>
        <w:snapToGrid w:val="0"/>
        <w:spacing w:line="560" w:lineRule="atLeast"/>
        <w:ind w:firstLine="880"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北京市法学会</w:t>
      </w:r>
    </w:p>
    <w:p>
      <w:pPr>
        <w:snapToGrid w:val="0"/>
        <w:spacing w:line="560" w:lineRule="atLeast"/>
        <w:ind w:firstLine="880"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年市级法学研究课题拟立项名单</w:t>
      </w:r>
    </w:p>
    <w:p>
      <w:pPr>
        <w:snapToGrid w:val="0"/>
        <w:spacing w:line="560" w:lineRule="atLeast"/>
        <w:ind w:firstLine="642" w:firstLineChars="200"/>
        <w:jc w:val="center"/>
        <w:rPr>
          <w:rFonts w:ascii="仿宋" w:hAnsi="仿宋" w:eastAsia="仿宋" w:cs="仿宋"/>
          <w:b/>
          <w:bCs/>
          <w:sz w:val="32"/>
          <w:szCs w:val="32"/>
        </w:rPr>
      </w:pPr>
    </w:p>
    <w:p>
      <w:pPr>
        <w:snapToGrid w:val="0"/>
        <w:spacing w:line="560" w:lineRule="atLeas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一、重点课题（10项）</w:t>
      </w:r>
    </w:p>
    <w:p>
      <w:pPr>
        <w:snapToGrid w:val="0"/>
        <w:spacing w:line="560" w:lineRule="atLeast"/>
        <w:ind w:firstLine="642" w:firstLineChars="200"/>
        <w:rPr>
          <w:rFonts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习近平法治思想在北京的立法实践与深化</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林  华</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中国政法大学</w:t>
      </w:r>
    </w:p>
    <w:p>
      <w:pPr>
        <w:snapToGrid w:val="0"/>
        <w:spacing w:line="560" w:lineRule="atLeast"/>
        <w:ind w:firstLine="640" w:firstLineChars="200"/>
        <w:rPr>
          <w:rFonts w:hint="eastAsia" w:ascii="仿宋" w:hAnsi="仿宋" w:eastAsia="仿宋" w:cs="仿宋"/>
          <w:bCs/>
          <w:sz w:val="32"/>
          <w:szCs w:val="32"/>
        </w:rPr>
      </w:pPr>
      <w:r>
        <w:rPr>
          <w:rFonts w:hint="eastAsia" w:ascii="仿宋" w:hAnsi="仿宋" w:eastAsia="仿宋" w:cs="仿宋"/>
          <w:bCs/>
          <w:sz w:val="32"/>
          <w:szCs w:val="32"/>
        </w:rPr>
        <w:t>立项编号：BLS(</w:t>
      </w:r>
      <w:r>
        <w:rPr>
          <w:rFonts w:hint="eastAsia" w:ascii="仿宋" w:hAnsi="仿宋" w:eastAsia="仿宋" w:cs="仿宋"/>
          <w:bCs/>
          <w:sz w:val="32"/>
          <w:szCs w:val="32"/>
          <w:lang w:eastAsia="zh-CN"/>
        </w:rPr>
        <w:t>2025</w:t>
      </w:r>
      <w:r>
        <w:rPr>
          <w:rFonts w:hint="eastAsia" w:ascii="仿宋" w:hAnsi="仿宋" w:eastAsia="仿宋" w:cs="仿宋"/>
          <w:bCs/>
          <w:sz w:val="32"/>
          <w:szCs w:val="32"/>
        </w:rPr>
        <w:t>)A001</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2.建构中国自主的监察法学知识体系研究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施鹏鹏    中国政法大学</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立项编号：BLS(</w:t>
      </w:r>
      <w:r>
        <w:rPr>
          <w:rFonts w:hint="eastAsia" w:ascii="仿宋" w:hAnsi="仿宋" w:eastAsia="仿宋" w:cs="仿宋"/>
          <w:bCs/>
          <w:sz w:val="32"/>
          <w:szCs w:val="32"/>
          <w:lang w:eastAsia="zh-CN"/>
        </w:rPr>
        <w:t>2025</w:t>
      </w:r>
      <w:r>
        <w:rPr>
          <w:rFonts w:hint="eastAsia" w:ascii="仿宋" w:hAnsi="仿宋" w:eastAsia="仿宋" w:cs="仿宋"/>
          <w:bCs/>
          <w:sz w:val="32"/>
          <w:szCs w:val="32"/>
        </w:rPr>
        <w:t>)A00</w:t>
      </w:r>
      <w:r>
        <w:rPr>
          <w:rFonts w:ascii="仿宋" w:hAnsi="仿宋" w:eastAsia="仿宋" w:cs="仿宋"/>
          <w:bCs/>
          <w:sz w:val="32"/>
          <w:szCs w:val="32"/>
        </w:rPr>
        <w:t>2</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3.党内法规在习近平法治思想中的定位和价值研究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彭新林    北京师范大学</w:t>
      </w:r>
    </w:p>
    <w:p>
      <w:pPr>
        <w:snapToGrid w:val="0"/>
        <w:spacing w:line="560" w:lineRule="atLeast"/>
        <w:ind w:firstLine="640" w:firstLineChars="200"/>
        <w:rPr>
          <w:rFonts w:hint="eastAsia" w:ascii="仿宋" w:hAnsi="仿宋" w:eastAsia="仿宋" w:cs="仿宋"/>
          <w:bCs/>
          <w:sz w:val="32"/>
          <w:szCs w:val="32"/>
        </w:rPr>
      </w:pPr>
      <w:r>
        <w:rPr>
          <w:rFonts w:hint="eastAsia" w:ascii="仿宋" w:hAnsi="仿宋" w:eastAsia="仿宋" w:cs="仿宋"/>
          <w:bCs/>
          <w:sz w:val="32"/>
          <w:szCs w:val="32"/>
        </w:rPr>
        <w:t>立项编号：BLS(</w:t>
      </w:r>
      <w:r>
        <w:rPr>
          <w:rFonts w:hint="eastAsia" w:ascii="仿宋" w:hAnsi="仿宋" w:eastAsia="仿宋" w:cs="仿宋"/>
          <w:bCs/>
          <w:sz w:val="32"/>
          <w:szCs w:val="32"/>
          <w:lang w:eastAsia="zh-CN"/>
        </w:rPr>
        <w:t>2025</w:t>
      </w:r>
      <w:r>
        <w:rPr>
          <w:rFonts w:hint="eastAsia" w:ascii="仿宋" w:hAnsi="仿宋" w:eastAsia="仿宋" w:cs="仿宋"/>
          <w:bCs/>
          <w:sz w:val="32"/>
          <w:szCs w:val="32"/>
        </w:rPr>
        <w:t>)A003</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4.围绕“一带一路”战略加强涉外法治研究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刘  颖</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北京航空航天大学</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立项编号：BLS(</w:t>
      </w:r>
      <w:r>
        <w:rPr>
          <w:rFonts w:hint="eastAsia" w:ascii="仿宋" w:hAnsi="仿宋" w:eastAsia="仿宋" w:cs="仿宋"/>
          <w:bCs/>
          <w:sz w:val="32"/>
          <w:szCs w:val="32"/>
          <w:lang w:eastAsia="zh-CN"/>
        </w:rPr>
        <w:t>2025</w:t>
      </w:r>
      <w:r>
        <w:rPr>
          <w:rFonts w:hint="eastAsia" w:ascii="仿宋" w:hAnsi="仿宋" w:eastAsia="仿宋" w:cs="仿宋"/>
          <w:bCs/>
          <w:sz w:val="32"/>
          <w:szCs w:val="32"/>
        </w:rPr>
        <w:t>)A004</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5.规范裁量权行使促进法律统一适用研究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任雪峰    北京市高级人民法院 </w:t>
      </w:r>
    </w:p>
    <w:p>
      <w:pPr>
        <w:snapToGrid w:val="0"/>
        <w:spacing w:line="560" w:lineRule="atLeast"/>
        <w:ind w:firstLine="640" w:firstLineChars="200"/>
        <w:rPr>
          <w:rFonts w:ascii="仿宋" w:hAnsi="仿宋" w:eastAsia="仿宋" w:cs="仿宋"/>
          <w:bCs/>
          <w:sz w:val="32"/>
          <w:szCs w:val="32"/>
        </w:rPr>
      </w:pPr>
      <w:r>
        <w:rPr>
          <w:rFonts w:hint="eastAsia" w:ascii="仿宋" w:hAnsi="仿宋" w:eastAsia="仿宋" w:cs="仿宋"/>
          <w:bCs/>
          <w:sz w:val="32"/>
          <w:szCs w:val="32"/>
        </w:rPr>
        <w:t>立项编号：BLS(</w:t>
      </w:r>
      <w:r>
        <w:rPr>
          <w:rFonts w:hint="eastAsia" w:ascii="仿宋" w:hAnsi="仿宋" w:eastAsia="仿宋" w:cs="仿宋"/>
          <w:bCs/>
          <w:sz w:val="32"/>
          <w:szCs w:val="32"/>
          <w:lang w:eastAsia="zh-CN"/>
        </w:rPr>
        <w:t>2025</w:t>
      </w:r>
      <w:r>
        <w:rPr>
          <w:rFonts w:hint="eastAsia" w:ascii="仿宋" w:hAnsi="仿宋" w:eastAsia="仿宋" w:cs="仿宋"/>
          <w:bCs/>
          <w:sz w:val="32"/>
          <w:szCs w:val="32"/>
        </w:rPr>
        <w:t>)A00</w:t>
      </w:r>
      <w:r>
        <w:rPr>
          <w:rFonts w:ascii="仿宋" w:hAnsi="仿宋" w:eastAsia="仿宋" w:cs="仿宋"/>
          <w:bCs/>
          <w:sz w:val="32"/>
          <w:szCs w:val="32"/>
        </w:rPr>
        <w:t>5</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6.企业集团破产风险化解的司法路径研究</w:t>
      </w:r>
    </w:p>
    <w:p>
      <w:pPr>
        <w:snapToGrid w:val="0"/>
        <w:spacing w:line="560" w:lineRule="atLeas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马  强    北京市第一中级人民法院</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立项编号：BLS(2025)A006</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7.新型网络犯罪司法认定疑难问题研究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郭志媛    中国政法大学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立项编号：BLS(2025)A007</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8.公安机关服务保障营商环境问题研究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王  轶    中国人民公安大学</w:t>
      </w:r>
    </w:p>
    <w:p>
      <w:pPr>
        <w:snapToGrid w:val="0"/>
        <w:spacing w:line="560" w:lineRule="atLeast"/>
        <w:ind w:firstLine="640" w:firstLineChars="200"/>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立项编号：BLS(2025)A008</w:t>
      </w:r>
    </w:p>
    <w:p>
      <w:pPr>
        <w:snapToGrid w:val="0"/>
        <w:spacing w:line="560" w:lineRule="atLeast"/>
        <w:ind w:firstLine="642" w:firstLineChars="200"/>
        <w:rPr>
          <w:rFonts w:hint="eastAsia" w:ascii="仿宋" w:hAnsi="仿宋" w:eastAsia="仿宋" w:cs="仿宋"/>
          <w:bCs/>
          <w:sz w:val="32"/>
          <w:szCs w:val="32"/>
          <w:lang w:val="en-US" w:eastAsia="zh-CN"/>
        </w:rPr>
      </w:pPr>
      <w:r>
        <w:rPr>
          <w:rFonts w:hint="eastAsia" w:ascii="仿宋" w:hAnsi="仿宋" w:eastAsia="仿宋" w:cs="仿宋"/>
          <w:b/>
          <w:bCs/>
          <w:sz w:val="32"/>
          <w:szCs w:val="32"/>
          <w:lang w:val="en-US" w:eastAsia="zh-CN"/>
        </w:rPr>
        <w:t>9.《北京市城市更新条例》实施中行政审批工作的优化与创新研究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楼建波    北京大学 </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立项编号：BLS(2025)A009</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10.超大城市社区治理法治化研究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刘泽军    北方工业大学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周睿志    北方工业大学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立项编号：BLS(2025)A010</w:t>
      </w:r>
    </w:p>
    <w:p>
      <w:pPr>
        <w:snapToGrid w:val="0"/>
        <w:spacing w:line="560" w:lineRule="atLeast"/>
        <w:ind w:firstLine="642" w:firstLineChars="200"/>
        <w:rPr>
          <w:rFonts w:ascii="仿宋" w:hAnsi="仿宋" w:eastAsia="仿宋" w:cs="仿宋"/>
          <w:b/>
          <w:bCs/>
          <w:sz w:val="32"/>
          <w:szCs w:val="32"/>
        </w:rPr>
      </w:pPr>
    </w:p>
    <w:p>
      <w:pPr>
        <w:snapToGrid w:val="0"/>
        <w:spacing w:line="560" w:lineRule="atLeas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w:t>
      </w:r>
      <w:r>
        <w:rPr>
          <w:rFonts w:hint="eastAsia" w:ascii="方正黑体_GBK" w:hAnsi="方正黑体_GBK" w:eastAsia="方正黑体_GBK" w:cs="方正黑体_GBK"/>
          <w:b w:val="0"/>
          <w:bCs w:val="0"/>
          <w:sz w:val="32"/>
          <w:szCs w:val="32"/>
          <w:lang w:eastAsia="zh-CN"/>
        </w:rPr>
        <w:t>专项</w:t>
      </w:r>
      <w:r>
        <w:rPr>
          <w:rFonts w:hint="eastAsia" w:ascii="方正黑体_GBK" w:hAnsi="方正黑体_GBK" w:eastAsia="方正黑体_GBK" w:cs="方正黑体_GBK"/>
          <w:b w:val="0"/>
          <w:bCs w:val="0"/>
          <w:sz w:val="32"/>
          <w:szCs w:val="32"/>
        </w:rPr>
        <w:t>课题（20项）</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1.以新质公安战斗力推进京津冀警务合作新路径研究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孙媛媛    北京警察学院</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立项编号：BLS(2025)B001</w:t>
      </w:r>
    </w:p>
    <w:p>
      <w:pPr>
        <w:snapToGrid w:val="0"/>
        <w:spacing w:line="560" w:lineRule="atLeast"/>
        <w:ind w:firstLine="642" w:firstLineChars="200"/>
        <w:rPr>
          <w:rFonts w:hint="eastAsia" w:ascii="仿宋" w:hAnsi="仿宋" w:eastAsia="仿宋" w:cs="仿宋"/>
          <w:bCs/>
          <w:sz w:val="32"/>
          <w:szCs w:val="32"/>
          <w:lang w:val="en-US" w:eastAsia="zh-CN"/>
        </w:rPr>
      </w:pPr>
      <w:r>
        <w:rPr>
          <w:rFonts w:hint="eastAsia" w:ascii="仿宋" w:hAnsi="仿宋" w:eastAsia="仿宋" w:cs="仿宋"/>
          <w:b/>
          <w:bCs/>
          <w:sz w:val="32"/>
          <w:szCs w:val="32"/>
          <w:lang w:val="en-US" w:eastAsia="zh-CN"/>
        </w:rPr>
        <w:t>2.涉案财物处置机制优化路径研究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杜  磊    中国人民大学</w:t>
      </w:r>
    </w:p>
    <w:p>
      <w:pPr>
        <w:snapToGrid w:val="0"/>
        <w:spacing w:line="560" w:lineRule="atLeas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立项编号：BLS(2025)B002-1</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杜  岩    北京市丰台区人民法院</w:t>
      </w:r>
    </w:p>
    <w:p>
      <w:pPr>
        <w:snapToGrid w:val="0"/>
        <w:spacing w:line="560" w:lineRule="atLeas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立项编号：BLS(2025)B002-2</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zh-CN" w:eastAsia="zh-CN"/>
        </w:rPr>
        <w:t>3.</w:t>
      </w:r>
      <w:r>
        <w:rPr>
          <w:rFonts w:hint="eastAsia" w:ascii="仿宋" w:hAnsi="仿宋" w:eastAsia="仿宋" w:cs="仿宋"/>
          <w:b/>
          <w:bCs/>
          <w:sz w:val="32"/>
          <w:szCs w:val="32"/>
          <w:lang w:val="en-US" w:eastAsia="zh-CN"/>
        </w:rPr>
        <w:t>惩罚性赔偿司法适用问题研究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杨志航</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北京市应用法学研究中心</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立项编号：BLS(2025)B003</w:t>
      </w:r>
    </w:p>
    <w:p>
      <w:pPr>
        <w:numPr>
          <w:ilvl w:val="0"/>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4.电信网络诈骗犯罪的预防研究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刘  建    中国农业大学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立项编号：BLS(2025)B004</w:t>
      </w:r>
    </w:p>
    <w:p>
      <w:pPr>
        <w:numPr>
          <w:ilvl w:val="0"/>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5.全面准确贯彻宽严相济刑事政策导向下我国轻微犯罪记录封存制度构建研究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张建伟    清华大学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立项编号：BLS(2025)B005</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6.金融数据空间的法律定性与可信治理研究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马  扬    中国人民大学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立项编号：BLS(2025)B006-1</w:t>
      </w:r>
    </w:p>
    <w:p>
      <w:pPr>
        <w:snapToGrid w:val="0"/>
        <w:spacing w:line="560" w:lineRule="atLeast"/>
        <w:ind w:firstLine="640" w:firstLineChars="200"/>
        <w:rPr>
          <w:rFonts w:hint="default" w:ascii="仿宋" w:hAnsi="仿宋" w:eastAsia="仿宋" w:cs="仿宋"/>
          <w:bCs/>
          <w:sz w:val="32"/>
          <w:szCs w:val="32"/>
          <w:lang w:val="en-US" w:eastAsia="zh-CN"/>
        </w:rPr>
      </w:pPr>
      <w:r>
        <w:rPr>
          <w:rFonts w:hint="default" w:ascii="仿宋" w:hAnsi="仿宋" w:eastAsia="仿宋" w:cs="仿宋"/>
          <w:bCs/>
          <w:sz w:val="32"/>
          <w:szCs w:val="32"/>
          <w:lang w:val="en-US" w:eastAsia="zh-CN"/>
        </w:rPr>
        <w:t>牛晓锐    北京金融法院</w:t>
      </w:r>
      <w:r>
        <w:rPr>
          <w:rFonts w:hint="default" w:ascii="仿宋" w:hAnsi="仿宋" w:eastAsia="仿宋" w:cs="仿宋"/>
          <w:bCs/>
          <w:sz w:val="32"/>
          <w:szCs w:val="32"/>
          <w:lang w:val="en-US" w:eastAsia="zh-CN"/>
        </w:rPr>
        <w:tab/>
      </w:r>
    </w:p>
    <w:p>
      <w:pPr>
        <w:snapToGrid w:val="0"/>
        <w:spacing w:line="560" w:lineRule="atLeast"/>
        <w:ind w:firstLine="640" w:firstLineChars="200"/>
        <w:rPr>
          <w:rFonts w:hint="default" w:ascii="仿宋" w:hAnsi="仿宋" w:eastAsia="仿宋" w:cs="仿宋"/>
          <w:bCs/>
          <w:sz w:val="32"/>
          <w:szCs w:val="32"/>
          <w:lang w:val="en-US" w:eastAsia="zh-CN"/>
        </w:rPr>
      </w:pPr>
      <w:r>
        <w:rPr>
          <w:rFonts w:hint="default" w:ascii="仿宋" w:hAnsi="仿宋" w:eastAsia="仿宋" w:cs="仿宋"/>
          <w:bCs/>
          <w:sz w:val="32"/>
          <w:szCs w:val="32"/>
          <w:lang w:val="en-US" w:eastAsia="zh-CN"/>
        </w:rPr>
        <w:t>立项编号：BLS(2025)B006-</w:t>
      </w:r>
      <w:r>
        <w:rPr>
          <w:rFonts w:hint="eastAsia" w:ascii="仿宋" w:hAnsi="仿宋" w:eastAsia="仿宋" w:cs="仿宋"/>
          <w:bCs/>
          <w:sz w:val="32"/>
          <w:szCs w:val="32"/>
          <w:lang w:val="en-US" w:eastAsia="zh-CN"/>
        </w:rPr>
        <w:t>2</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w:t>
      </w:r>
      <w:r>
        <w:rPr>
          <w:rFonts w:hint="default" w:ascii="仿宋" w:hAnsi="仿宋" w:eastAsia="仿宋" w:cs="仿宋"/>
          <w:b/>
          <w:bCs/>
          <w:sz w:val="32"/>
          <w:szCs w:val="32"/>
          <w:lang w:val="en-US" w:eastAsia="zh-CN"/>
        </w:rPr>
        <w:t>欧美数据法域外适用扩张的管辖权应对策略研究</w:t>
      </w:r>
      <w:r>
        <w:rPr>
          <w:rFonts w:hint="default"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李贤森    北京理工大学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立项编号：BLS(2025)B007</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w:t>
      </w:r>
      <w:r>
        <w:rPr>
          <w:rFonts w:hint="default" w:ascii="仿宋" w:hAnsi="仿宋" w:eastAsia="仿宋" w:cs="仿宋"/>
          <w:b/>
          <w:bCs/>
          <w:sz w:val="32"/>
          <w:szCs w:val="32"/>
          <w:lang w:val="en-US" w:eastAsia="zh-CN"/>
        </w:rPr>
        <w:t>人工智能在司法裁判中的应用与风险规制研究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李经纬</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北京市西城区人民法院</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立项编号：BLS(2025)B008</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9.</w:t>
      </w:r>
      <w:r>
        <w:rPr>
          <w:rFonts w:hint="default" w:ascii="仿宋" w:hAnsi="仿宋" w:eastAsia="仿宋" w:cs="仿宋"/>
          <w:b/>
          <w:bCs/>
          <w:sz w:val="32"/>
          <w:szCs w:val="32"/>
          <w:lang w:val="en-US" w:eastAsia="zh-CN"/>
        </w:rPr>
        <w:t>脑机接口技术的应用风险和法律规制研究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杭广远    中国人民大学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立项编号：BLS(2025)B009</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10.</w:t>
      </w:r>
      <w:r>
        <w:rPr>
          <w:rFonts w:hint="default" w:ascii="仿宋" w:hAnsi="仿宋" w:eastAsia="仿宋" w:cs="仿宋"/>
          <w:b/>
          <w:bCs/>
          <w:sz w:val="32"/>
          <w:szCs w:val="32"/>
          <w:lang w:val="en-US" w:eastAsia="zh-CN"/>
        </w:rPr>
        <w:t>文化产业中生成式人工智能的风险及法律规制研究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张万春    北京联合大学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立项编号：BLS(2025)B010</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11.北京非物质文化遗产的知识产权保护研究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白  硕    北京物资学院</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立项编号：BLS(2025)B011</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12.健全铸牢中华民族共同体意识制度机制研究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赖力静    中央民族大学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立项编号：BLS(2025)B012</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13.数据知识产权的竞争法保护路径研究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刘自钦    北京工业大学</w:t>
      </w:r>
    </w:p>
    <w:p>
      <w:pPr>
        <w:snapToGrid w:val="0"/>
        <w:spacing w:line="560" w:lineRule="atLeas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立项编号：BLS(2025)B013-1</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刘双玉</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北京知识产权法院</w:t>
      </w:r>
    </w:p>
    <w:p>
      <w:pPr>
        <w:snapToGrid w:val="0"/>
        <w:spacing w:line="560" w:lineRule="atLeas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立项编号：BLS(2025)B013-2</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14.北京农产品地理标志国际发展策略研究——从权利保护到价值创造</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罗  娇</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中国农业大学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立项编号：BLS(2025)B014</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15.检察监督和人大监督贯通协调促进社会治理的基层实践与创新研究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祁治国</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北京市人民检察院</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立项编号：BLS(2025)B015-1</w:t>
      </w:r>
      <w:bookmarkStart w:id="0" w:name="_GoBack"/>
      <w:bookmarkEnd w:id="0"/>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彭智刚</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中国社会科学院研究生院</w:t>
      </w:r>
    </w:p>
    <w:p>
      <w:pPr>
        <w:snapToGrid w:val="0"/>
        <w:spacing w:line="560" w:lineRule="atLeas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立项编号：BLS(2025)B015-2</w:t>
      </w:r>
    </w:p>
    <w:p>
      <w:pPr>
        <w:snapToGrid w:val="0"/>
        <w:spacing w:line="560" w:lineRule="atLeast"/>
        <w:ind w:firstLine="642" w:firstLineChars="200"/>
        <w:rPr>
          <w:rFonts w:hint="eastAsia" w:ascii="仿宋" w:hAnsi="仿宋" w:eastAsia="仿宋" w:cs="仿宋"/>
          <w:bCs/>
          <w:sz w:val="32"/>
          <w:szCs w:val="32"/>
          <w:lang w:val="en-US" w:eastAsia="zh-CN"/>
        </w:rPr>
      </w:pPr>
      <w:r>
        <w:rPr>
          <w:rFonts w:hint="eastAsia" w:ascii="仿宋" w:hAnsi="仿宋" w:eastAsia="仿宋" w:cs="仿宋"/>
          <w:b/>
          <w:bCs/>
          <w:sz w:val="32"/>
          <w:szCs w:val="32"/>
          <w:lang w:val="en-US" w:eastAsia="zh-CN"/>
        </w:rPr>
        <w:t>16.北京市配合建立个人破产制度路径研究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范志勇</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北京交通大学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立项编号：BLS(2025)B016</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17.律师参与人民调解新模式研究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王  媛    北京市房山区司法局</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立项编号：BLS(2025)B017</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18.完善住宅酬金制法律制度问题研究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赵秀池   北京市房地产法学会</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立项编号：BLS(2025)B018</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19.北京市落实生育支持政策体系的法律保障机制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王  萍</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北京中医药大学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立项编号：BLS(2025)B019</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20.渐进式延迟退休改革背景下劳动法制改革研究</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范  围    首都经济贸易大学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立项编号：BLS(2025)B020</w:t>
      </w:r>
    </w:p>
    <w:p>
      <w:pPr>
        <w:snapToGrid w:val="0"/>
        <w:spacing w:line="560" w:lineRule="atLeast"/>
        <w:ind w:firstLine="640" w:firstLineChars="200"/>
        <w:rPr>
          <w:rFonts w:hint="eastAsia" w:ascii="方正黑体_GBK" w:hAnsi="方正黑体_GBK" w:eastAsia="方正黑体_GBK" w:cs="方正黑体_GBK"/>
          <w:b w:val="0"/>
          <w:bCs w:val="0"/>
          <w:sz w:val="32"/>
          <w:szCs w:val="32"/>
        </w:rPr>
      </w:pPr>
    </w:p>
    <w:p>
      <w:pPr>
        <w:snapToGrid w:val="0"/>
        <w:spacing w:line="560" w:lineRule="atLeas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三、青年课题（10项）</w:t>
      </w:r>
    </w:p>
    <w:p>
      <w:p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1.生成式人工智能数据训练版权合法化路径研究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靳雨露    清华大学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立项编号：BLS(2025)C001</w:t>
      </w:r>
    </w:p>
    <w:p>
      <w:pPr>
        <w:numPr>
          <w:ilvl w:val="0"/>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2.人工智能训练数据知识产权侵权的纾解路径研究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李林凡    中国人民大学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立项编号：BLS(2025)C002</w:t>
      </w:r>
    </w:p>
    <w:p>
      <w:pPr>
        <w:numPr>
          <w:ilvl w:val="0"/>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3.数据市场建设背景下数据提供合同的瑕疵担保责任研究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刘继升    中国政法大学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立项编号：BLS(2025)C003</w:t>
      </w:r>
    </w:p>
    <w:p>
      <w:pPr>
        <w:numPr>
          <w:ilvl w:val="0"/>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4.北京市多层次长期照护保障法律体系研究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徐靖仪    北京大学</w:t>
      </w:r>
    </w:p>
    <w:p>
      <w:pPr>
        <w:snapToGrid w:val="0"/>
        <w:spacing w:line="560" w:lineRule="atLeast"/>
        <w:ind w:firstLine="567"/>
        <w:rPr>
          <w:rFonts w:ascii="仿宋" w:hAnsi="仿宋" w:eastAsia="仿宋" w:cs="仿宋"/>
          <w:bCs/>
          <w:sz w:val="32"/>
          <w:szCs w:val="32"/>
        </w:rPr>
      </w:pPr>
      <w:r>
        <w:rPr>
          <w:rFonts w:hint="eastAsia" w:ascii="仿宋" w:hAnsi="仿宋" w:eastAsia="仿宋" w:cs="仿宋"/>
          <w:bCs/>
          <w:sz w:val="32"/>
          <w:szCs w:val="32"/>
        </w:rPr>
        <w:t>立项编号：BLS(</w:t>
      </w:r>
      <w:r>
        <w:rPr>
          <w:rFonts w:hint="eastAsia" w:ascii="仿宋" w:hAnsi="仿宋" w:eastAsia="仿宋" w:cs="仿宋"/>
          <w:bCs/>
          <w:sz w:val="32"/>
          <w:szCs w:val="32"/>
          <w:lang w:eastAsia="zh-CN"/>
        </w:rPr>
        <w:t>2025</w:t>
      </w:r>
      <w:r>
        <w:rPr>
          <w:rFonts w:hint="eastAsia" w:ascii="仿宋" w:hAnsi="仿宋" w:eastAsia="仿宋" w:cs="仿宋"/>
          <w:bCs/>
          <w:sz w:val="32"/>
          <w:szCs w:val="32"/>
        </w:rPr>
        <w:t>)C004</w:t>
      </w:r>
    </w:p>
    <w:p>
      <w:pPr>
        <w:numPr>
          <w:ilvl w:val="0"/>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5.数据交易流通中排他性的动态面向与法律构造</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沈  超</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 xml:space="preserve">    中国人民大学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立项编号：BLS(2025)C005</w:t>
      </w:r>
    </w:p>
    <w:p>
      <w:pPr>
        <w:numPr>
          <w:ilvl w:val="0"/>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6.人工智能立法的法理基础与路径研究</w:t>
      </w:r>
      <w:r>
        <w:rPr>
          <w:rFonts w:hint="eastAsia" w:ascii="仿宋" w:hAnsi="仿宋" w:eastAsia="仿宋" w:cs="仿宋"/>
          <w:b/>
          <w:bCs/>
          <w:sz w:val="32"/>
          <w:szCs w:val="32"/>
          <w:lang w:val="en-US" w:eastAsia="zh-CN"/>
        </w:rPr>
        <w:tab/>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付新华  </w:t>
      </w:r>
      <w:r>
        <w:rPr>
          <w:rFonts w:hint="eastAsia" w:ascii="仿宋" w:hAnsi="仿宋" w:eastAsia="仿宋" w:cs="仿宋"/>
          <w:bCs/>
          <w:sz w:val="32"/>
          <w:szCs w:val="32"/>
          <w:lang w:val="en-US" w:eastAsia="zh-CN"/>
        </w:rPr>
        <w:tab/>
      </w:r>
      <w:r>
        <w:rPr>
          <w:rFonts w:hint="eastAsia" w:ascii="仿宋" w:hAnsi="仿宋" w:eastAsia="仿宋" w:cs="仿宋"/>
          <w:bCs/>
          <w:sz w:val="32"/>
          <w:szCs w:val="32"/>
          <w:lang w:val="en-US" w:eastAsia="zh-CN"/>
        </w:rPr>
        <w:t>北京交通大学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立项编号：BLS(2025)C006</w:t>
      </w:r>
    </w:p>
    <w:p>
      <w:pPr>
        <w:numPr>
          <w:ilvl w:val="0"/>
          <w:numId w:val="0"/>
        </w:numPr>
        <w:snapToGrid w:val="0"/>
        <w:spacing w:line="560" w:lineRule="atLeast"/>
        <w:ind w:leftChars="0"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7.利用算法不正当竞争的法律规制研究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李扬帆    中国科学院大学</w:t>
      </w:r>
    </w:p>
    <w:p>
      <w:pPr>
        <w:numPr>
          <w:ilvl w:val="0"/>
          <w:numId w:val="0"/>
        </w:numPr>
        <w:snapToGrid w:val="0"/>
        <w:spacing w:line="560" w:lineRule="atLeas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立项编号：BLS(2025)C007</w:t>
      </w:r>
    </w:p>
    <w:p>
      <w:pPr>
        <w:numPr>
          <w:ilvl w:val="0"/>
          <w:numId w:val="0"/>
        </w:numPr>
        <w:snapToGrid w:val="0"/>
        <w:spacing w:line="560" w:lineRule="atLeast"/>
        <w:ind w:leftChars="0"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8.劳动者离线权保障的规范体系研究</w:t>
      </w:r>
      <w:r>
        <w:rPr>
          <w:rFonts w:hint="eastAsia" w:ascii="仿宋" w:hAnsi="仿宋" w:eastAsia="仿宋" w:cs="仿宋"/>
          <w:b/>
          <w:bCs/>
          <w:sz w:val="32"/>
          <w:szCs w:val="32"/>
          <w:lang w:val="en-US" w:eastAsia="zh-CN"/>
        </w:rPr>
        <w:tab/>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梁  栋    北京理工大学</w:t>
      </w:r>
    </w:p>
    <w:p>
      <w:pPr>
        <w:numPr>
          <w:ilvl w:val="0"/>
          <w:numId w:val="0"/>
        </w:numPr>
        <w:snapToGrid w:val="0"/>
        <w:spacing w:line="560" w:lineRule="atLeas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立项编号：BLS(2025)C008</w:t>
      </w:r>
    </w:p>
    <w:p>
      <w:pPr>
        <w:numPr>
          <w:numId w:val="0"/>
        </w:numPr>
        <w:snapToGrid w:val="0"/>
        <w:spacing w:line="560"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9.帮助信息网络犯罪活动罪的司法限缩研究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何丽媛    中国司法大数据研究院</w:t>
      </w:r>
    </w:p>
    <w:p>
      <w:pPr>
        <w:numPr>
          <w:ilvl w:val="0"/>
          <w:numId w:val="0"/>
        </w:numPr>
        <w:snapToGrid w:val="0"/>
        <w:spacing w:line="560" w:lineRule="atLeas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立项编号：BLS(2025)C009</w:t>
      </w:r>
    </w:p>
    <w:p>
      <w:pPr>
        <w:numPr>
          <w:ilvl w:val="0"/>
          <w:numId w:val="0"/>
        </w:numPr>
        <w:snapToGrid w:val="0"/>
        <w:spacing w:line="560" w:lineRule="atLeast"/>
        <w:ind w:leftChars="0"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10.北京国际消费中心城市建设中消费者数字权利保护问题研究</w:t>
      </w:r>
      <w:r>
        <w:rPr>
          <w:rFonts w:hint="eastAsia" w:ascii="仿宋" w:hAnsi="仿宋" w:eastAsia="仿宋" w:cs="仿宋"/>
          <w:b/>
          <w:bCs/>
          <w:sz w:val="32"/>
          <w:szCs w:val="32"/>
          <w:lang w:val="en-US" w:eastAsia="zh-CN"/>
        </w:rPr>
        <w:tab/>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马宇飞    华北电力大学</w:t>
      </w:r>
    </w:p>
    <w:p>
      <w:pPr>
        <w:snapToGrid w:val="0"/>
        <w:spacing w:line="560" w:lineRule="atLeas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立项编号：BLS(2025)C010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0000000000000000000"/>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1A166A"/>
    <w:rsid w:val="00011A3F"/>
    <w:rsid w:val="000205BD"/>
    <w:rsid w:val="00020AD6"/>
    <w:rsid w:val="00043921"/>
    <w:rsid w:val="000D5E07"/>
    <w:rsid w:val="001336BF"/>
    <w:rsid w:val="0014013A"/>
    <w:rsid w:val="00192303"/>
    <w:rsid w:val="001E12BD"/>
    <w:rsid w:val="001E6D9E"/>
    <w:rsid w:val="001F21DB"/>
    <w:rsid w:val="001F6A68"/>
    <w:rsid w:val="00254B3B"/>
    <w:rsid w:val="0026251F"/>
    <w:rsid w:val="002672E1"/>
    <w:rsid w:val="00281C6D"/>
    <w:rsid w:val="002A3DF8"/>
    <w:rsid w:val="002A4D7B"/>
    <w:rsid w:val="002B29D1"/>
    <w:rsid w:val="002E5957"/>
    <w:rsid w:val="003258B8"/>
    <w:rsid w:val="0033600D"/>
    <w:rsid w:val="003678E6"/>
    <w:rsid w:val="003775B6"/>
    <w:rsid w:val="003C6B71"/>
    <w:rsid w:val="003D380E"/>
    <w:rsid w:val="003E054F"/>
    <w:rsid w:val="003F62E0"/>
    <w:rsid w:val="00413DCC"/>
    <w:rsid w:val="00460CE5"/>
    <w:rsid w:val="0056152C"/>
    <w:rsid w:val="0059039F"/>
    <w:rsid w:val="005A5B06"/>
    <w:rsid w:val="005C1C87"/>
    <w:rsid w:val="005E5829"/>
    <w:rsid w:val="00603471"/>
    <w:rsid w:val="00615563"/>
    <w:rsid w:val="006B5257"/>
    <w:rsid w:val="006D008B"/>
    <w:rsid w:val="006E2105"/>
    <w:rsid w:val="006F50B1"/>
    <w:rsid w:val="00747B3A"/>
    <w:rsid w:val="007D615D"/>
    <w:rsid w:val="007E339D"/>
    <w:rsid w:val="00811AA4"/>
    <w:rsid w:val="0082220A"/>
    <w:rsid w:val="00837121"/>
    <w:rsid w:val="00871FE3"/>
    <w:rsid w:val="008C4557"/>
    <w:rsid w:val="00902E8C"/>
    <w:rsid w:val="00986B67"/>
    <w:rsid w:val="009C4631"/>
    <w:rsid w:val="009D1A71"/>
    <w:rsid w:val="009D322D"/>
    <w:rsid w:val="00A12EE8"/>
    <w:rsid w:val="00A41B1A"/>
    <w:rsid w:val="00A65FC7"/>
    <w:rsid w:val="00A81BF6"/>
    <w:rsid w:val="00A9780E"/>
    <w:rsid w:val="00AA2BF8"/>
    <w:rsid w:val="00AF171A"/>
    <w:rsid w:val="00AF5762"/>
    <w:rsid w:val="00B05EC9"/>
    <w:rsid w:val="00B531C9"/>
    <w:rsid w:val="00B55566"/>
    <w:rsid w:val="00B602F8"/>
    <w:rsid w:val="00B7657B"/>
    <w:rsid w:val="00BB0C5A"/>
    <w:rsid w:val="00C04EC2"/>
    <w:rsid w:val="00C07F03"/>
    <w:rsid w:val="00C103CA"/>
    <w:rsid w:val="00C679EB"/>
    <w:rsid w:val="00C734CA"/>
    <w:rsid w:val="00C924BF"/>
    <w:rsid w:val="00CA0862"/>
    <w:rsid w:val="00CA175E"/>
    <w:rsid w:val="00CD7FFB"/>
    <w:rsid w:val="00CE6B10"/>
    <w:rsid w:val="00D20FFB"/>
    <w:rsid w:val="00D97B37"/>
    <w:rsid w:val="00DC7B4E"/>
    <w:rsid w:val="00DD1FC3"/>
    <w:rsid w:val="00DE79D0"/>
    <w:rsid w:val="00DF2E85"/>
    <w:rsid w:val="00DF4C88"/>
    <w:rsid w:val="00DF5880"/>
    <w:rsid w:val="00DF63D7"/>
    <w:rsid w:val="00E27136"/>
    <w:rsid w:val="00E4082F"/>
    <w:rsid w:val="00E573E9"/>
    <w:rsid w:val="00E754B8"/>
    <w:rsid w:val="00E945B2"/>
    <w:rsid w:val="00EB4F39"/>
    <w:rsid w:val="00EE1F2A"/>
    <w:rsid w:val="00EF3039"/>
    <w:rsid w:val="00F075DD"/>
    <w:rsid w:val="00F10266"/>
    <w:rsid w:val="00F216BC"/>
    <w:rsid w:val="00F27DF8"/>
    <w:rsid w:val="00F42821"/>
    <w:rsid w:val="00F42C4E"/>
    <w:rsid w:val="00F4500A"/>
    <w:rsid w:val="00F54135"/>
    <w:rsid w:val="00F8442F"/>
    <w:rsid w:val="00F97EBE"/>
    <w:rsid w:val="00FB3CC3"/>
    <w:rsid w:val="00FF2601"/>
    <w:rsid w:val="08352B27"/>
    <w:rsid w:val="0A7835CD"/>
    <w:rsid w:val="1E1A166A"/>
    <w:rsid w:val="26CE3DC5"/>
    <w:rsid w:val="29893E67"/>
    <w:rsid w:val="3FDBC788"/>
    <w:rsid w:val="46166AC9"/>
    <w:rsid w:val="467B41D2"/>
    <w:rsid w:val="540A0958"/>
    <w:rsid w:val="57164414"/>
    <w:rsid w:val="59F5B5CF"/>
    <w:rsid w:val="5DE706FE"/>
    <w:rsid w:val="5EEEBFCF"/>
    <w:rsid w:val="5FFB03D0"/>
    <w:rsid w:val="63FF38C8"/>
    <w:rsid w:val="6C2134E3"/>
    <w:rsid w:val="6DFB2911"/>
    <w:rsid w:val="7DBB147C"/>
    <w:rsid w:val="7DF3EB5C"/>
    <w:rsid w:val="C7FBC690"/>
    <w:rsid w:val="DBF749A7"/>
    <w:rsid w:val="DFFF4840"/>
    <w:rsid w:val="E7BF6F92"/>
    <w:rsid w:val="ECBABB63"/>
    <w:rsid w:val="FAFBE1A9"/>
    <w:rsid w:val="FBFA3B37"/>
    <w:rsid w:val="FEED7E55"/>
    <w:rsid w:val="FF86E9DF"/>
    <w:rsid w:val="FFEFA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paragraph" w:styleId="10">
    <w:name w:val="List Paragraph"/>
    <w:basedOn w:val="1"/>
    <w:qFormat/>
    <w:uiPriority w:val="99"/>
    <w:pPr>
      <w:ind w:firstLine="420" w:firstLineChars="200"/>
    </w:p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character" w:customStyle="1" w:styleId="13">
    <w:name w:val="批注文字 字符"/>
    <w:basedOn w:val="8"/>
    <w:link w:val="2"/>
    <w:qFormat/>
    <w:uiPriority w:val="0"/>
    <w:rPr>
      <w:kern w:val="2"/>
      <w:sz w:val="21"/>
      <w:szCs w:val="24"/>
    </w:rPr>
  </w:style>
  <w:style w:type="character" w:customStyle="1" w:styleId="14">
    <w:name w:val="批注主题 字符"/>
    <w:basedOn w:val="13"/>
    <w:link w:val="6"/>
    <w:qFormat/>
    <w:uiPriority w:val="0"/>
    <w:rPr>
      <w:b/>
      <w:bCs/>
      <w:kern w:val="2"/>
      <w:sz w:val="21"/>
      <w:szCs w:val="24"/>
    </w:rPr>
  </w:style>
  <w:style w:type="character" w:customStyle="1" w:styleId="15">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1672</Words>
  <Characters>1060</Characters>
  <Lines>8</Lines>
  <Paragraphs>5</Paragraphs>
  <TotalTime>0</TotalTime>
  <ScaleCrop>false</ScaleCrop>
  <LinksUpToDate>false</LinksUpToDate>
  <CharactersWithSpaces>2727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2022-07-03T23:18:00Z</dcterms:created>
  <dc:creator>user</dc:creator>
  <cp:lastModifiedBy>lenovo</cp:lastModifiedBy>
  <cp:lastPrinted>2025-07-09T15:04:29Z</cp:lastPrinted>
  <dcterms:modified xsi:type="dcterms:W3CDTF">2025-07-09T15:16:13Z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