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atLeast"/>
        <w:jc w:val="lef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附件：</w:t>
      </w:r>
    </w:p>
    <w:p>
      <w:pPr>
        <w:snapToGrid w:val="0"/>
        <w:spacing w:line="560" w:lineRule="atLeast"/>
        <w:ind w:firstLine="722" w:firstLineChars="200"/>
        <w:jc w:val="center"/>
        <w:rPr>
          <w:rFonts w:ascii="黑体" w:hAnsi="黑体" w:eastAsia="黑体" w:cs="黑体"/>
          <w:b/>
          <w:bCs/>
          <w:sz w:val="36"/>
          <w:szCs w:val="36"/>
        </w:rPr>
      </w:pPr>
    </w:p>
    <w:p>
      <w:pPr>
        <w:snapToGrid w:val="0"/>
        <w:spacing w:line="560" w:lineRule="atLeast"/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北京市法学会</w:t>
      </w:r>
    </w:p>
    <w:p>
      <w:pPr>
        <w:snapToGrid w:val="0"/>
        <w:spacing w:line="560" w:lineRule="atLeast"/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年市级法学研究课题立项名单</w:t>
      </w:r>
    </w:p>
    <w:p>
      <w:pPr>
        <w:snapToGrid w:val="0"/>
        <w:spacing w:line="560" w:lineRule="atLeast"/>
        <w:ind w:firstLine="642" w:firstLineChars="200"/>
        <w:jc w:val="center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snapToGrid w:val="0"/>
        <w:spacing w:line="560" w:lineRule="atLeast"/>
        <w:ind w:firstLine="640" w:firstLineChars="200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一、重点课题（10项）</w:t>
      </w:r>
    </w:p>
    <w:p>
      <w:pPr>
        <w:snapToGrid w:val="0"/>
        <w:spacing w:line="560" w:lineRule="atLeast"/>
        <w:ind w:firstLine="642" w:firstLineChars="200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1.网络空间全球治理背景下国家网络安全防御体系建设</w:t>
      </w:r>
    </w:p>
    <w:p>
      <w:p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蒋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娜    北京师范大学</w:t>
      </w:r>
    </w:p>
    <w:p>
      <w:p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立项编号：BLS(202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)A001</w:t>
      </w:r>
    </w:p>
    <w:p>
      <w:pPr>
        <w:numPr>
          <w:ilvl w:val="0"/>
          <w:numId w:val="0"/>
        </w:numPr>
        <w:snapToGrid w:val="0"/>
        <w:spacing w:line="560" w:lineRule="atLeast"/>
        <w:ind w:firstLine="642" w:firstLineChars="200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以劳动争议审判保障首都法治化营商环境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薛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强</w:t>
      </w:r>
      <w:r>
        <w:rPr>
          <w:rFonts w:hint="eastAsia" w:ascii="仿宋" w:hAnsi="仿宋" w:eastAsia="仿宋" w:cs="仿宋"/>
          <w:bCs/>
          <w:sz w:val="32"/>
          <w:szCs w:val="32"/>
        </w:rPr>
        <w:tab/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Cs/>
          <w:sz w:val="32"/>
          <w:szCs w:val="32"/>
        </w:rPr>
        <w:t>北京市第三中级人民法院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立项编号：BLS(2026)A00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</w:t>
      </w:r>
    </w:p>
    <w:p>
      <w:pPr>
        <w:numPr>
          <w:ilvl w:val="0"/>
          <w:numId w:val="0"/>
        </w:numPr>
        <w:snapToGrid w:val="0"/>
        <w:spacing w:line="560" w:lineRule="atLeast"/>
        <w:ind w:firstLine="642" w:firstLineChars="200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党委执法司法监督与法律监督贯通协调研究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刘泽锋    北京市丰台区人民检察院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立项编号：BLS(2026)A00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3</w:t>
      </w:r>
    </w:p>
    <w:p>
      <w:pPr>
        <w:numPr>
          <w:ilvl w:val="0"/>
          <w:numId w:val="0"/>
        </w:numPr>
        <w:snapToGrid w:val="0"/>
        <w:spacing w:line="560" w:lineRule="atLeast"/>
        <w:ind w:firstLine="642" w:firstLineChars="200"/>
        <w:rPr>
          <w:rFonts w:hint="default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中华优秀传统法律文化的传承与司法实践</w:t>
      </w:r>
    </w:p>
    <w:p>
      <w:p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龚浩鸣、王银宏    北京市第四中级人民法院、中国政法大学</w:t>
      </w:r>
    </w:p>
    <w:p>
      <w:p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立项编号：BLS(2026)A00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</w:t>
      </w:r>
    </w:p>
    <w:p>
      <w:pPr>
        <w:numPr>
          <w:ilvl w:val="0"/>
          <w:numId w:val="0"/>
        </w:numPr>
        <w:snapToGrid w:val="0"/>
        <w:spacing w:line="560" w:lineRule="atLeast"/>
        <w:ind w:firstLine="642" w:firstLineChars="200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检察发展要素体系研究</w:t>
      </w:r>
    </w:p>
    <w:p>
      <w:p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岳向阳    北京市人民检察院</w:t>
      </w:r>
      <w:r>
        <w:rPr>
          <w:rFonts w:hint="eastAsia" w:ascii="仿宋" w:hAnsi="仿宋" w:eastAsia="仿宋" w:cs="仿宋"/>
          <w:bCs/>
          <w:sz w:val="32"/>
          <w:szCs w:val="32"/>
        </w:rPr>
        <w:tab/>
      </w:r>
    </w:p>
    <w:p>
      <w:p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立项编号：BLS(2026)A00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5</w:t>
      </w:r>
    </w:p>
    <w:p>
      <w:pPr>
        <w:numPr>
          <w:ilvl w:val="0"/>
          <w:numId w:val="0"/>
        </w:numPr>
        <w:snapToGrid w:val="0"/>
        <w:spacing w:line="560" w:lineRule="atLeast"/>
        <w:ind w:firstLine="642" w:firstLineChars="200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新时代背景下首都公安法治体系构建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刘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彦</w:t>
      </w:r>
      <w:r>
        <w:rPr>
          <w:rFonts w:hint="eastAsia" w:ascii="仿宋" w:hAnsi="仿宋" w:eastAsia="仿宋" w:cs="仿宋"/>
          <w:bCs/>
          <w:sz w:val="32"/>
          <w:szCs w:val="32"/>
        </w:rPr>
        <w:tab/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Cs/>
          <w:sz w:val="32"/>
          <w:szCs w:val="32"/>
        </w:rPr>
        <w:t>北京市公安局法制总队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立项编号：BLS(2026)A00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</w:p>
    <w:p>
      <w:pPr>
        <w:numPr>
          <w:ilvl w:val="0"/>
          <w:numId w:val="0"/>
        </w:numPr>
        <w:snapToGrid w:val="0"/>
        <w:spacing w:line="560" w:lineRule="atLeast"/>
        <w:ind w:firstLine="642" w:firstLineChars="200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中国民事信托登记制度的重构与实践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任自力</w:t>
      </w:r>
      <w:r>
        <w:rPr>
          <w:rFonts w:hint="eastAsia" w:ascii="仿宋" w:hAnsi="仿宋" w:eastAsia="仿宋" w:cs="仿宋"/>
          <w:bCs/>
          <w:sz w:val="32"/>
          <w:szCs w:val="32"/>
        </w:rPr>
        <w:tab/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Cs/>
          <w:sz w:val="32"/>
          <w:szCs w:val="32"/>
        </w:rPr>
        <w:t>北京航空航天大学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立项编号：BLS(2026)A00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7</w:t>
      </w:r>
    </w:p>
    <w:p>
      <w:pPr>
        <w:numPr>
          <w:ilvl w:val="0"/>
          <w:numId w:val="0"/>
        </w:numPr>
        <w:snapToGrid w:val="0"/>
        <w:spacing w:line="560" w:lineRule="atLeast"/>
        <w:ind w:firstLine="642" w:firstLineChars="200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数字化背景下党内法规的制定、实施与监督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金成波</w:t>
      </w:r>
      <w:r>
        <w:rPr>
          <w:rFonts w:hint="eastAsia" w:ascii="仿宋" w:hAnsi="仿宋" w:eastAsia="仿宋" w:cs="仿宋"/>
          <w:bCs/>
          <w:sz w:val="32"/>
          <w:szCs w:val="32"/>
        </w:rPr>
        <w:tab/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Cs/>
          <w:sz w:val="32"/>
          <w:szCs w:val="32"/>
        </w:rPr>
        <w:t>中央党校（国家行政学院）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立项编号：BLS(2026)A00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8</w:t>
      </w:r>
    </w:p>
    <w:p>
      <w:pPr>
        <w:numPr>
          <w:ilvl w:val="0"/>
          <w:numId w:val="0"/>
        </w:numPr>
        <w:snapToGrid w:val="0"/>
        <w:spacing w:line="560" w:lineRule="atLeast"/>
        <w:ind w:firstLine="642" w:firstLineChars="200"/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9.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高水平建设“数智北京”的法治支撑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研究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王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成</w:t>
      </w:r>
      <w:r>
        <w:rPr>
          <w:rFonts w:hint="eastAsia" w:ascii="仿宋" w:hAnsi="仿宋" w:eastAsia="仿宋" w:cs="仿宋"/>
          <w:bCs/>
          <w:sz w:val="32"/>
          <w:szCs w:val="32"/>
        </w:rPr>
        <w:tab/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Cs/>
          <w:sz w:val="32"/>
          <w:szCs w:val="32"/>
        </w:rPr>
        <w:t>北京大学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立项编号：BLS(2026)A00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9</w:t>
      </w:r>
    </w:p>
    <w:p>
      <w:pPr>
        <w:numPr>
          <w:ilvl w:val="0"/>
          <w:numId w:val="0"/>
        </w:numPr>
        <w:snapToGrid w:val="0"/>
        <w:spacing w:line="560" w:lineRule="atLeast"/>
        <w:ind w:firstLine="642" w:firstLineChars="200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10.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新修订“两委”组织法在超大城市实施的法治保障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郑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毅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Cs/>
          <w:sz w:val="32"/>
          <w:szCs w:val="32"/>
        </w:rPr>
        <w:t>中央民族大学</w:t>
      </w:r>
    </w:p>
    <w:p>
      <w:pPr>
        <w:snapToGrid w:val="0"/>
        <w:spacing w:line="560" w:lineRule="atLeast"/>
        <w:ind w:firstLine="640" w:firstLineChars="200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立项编号：BLS(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)A0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10</w:t>
      </w:r>
    </w:p>
    <w:p>
      <w:pPr>
        <w:snapToGrid w:val="0"/>
        <w:spacing w:line="560" w:lineRule="atLeast"/>
        <w:ind w:firstLine="640" w:firstLineChars="200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</w:p>
    <w:p>
      <w:pPr>
        <w:snapToGrid w:val="0"/>
        <w:spacing w:line="560" w:lineRule="atLeast"/>
        <w:ind w:firstLine="640" w:firstLineChars="200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二、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专项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课题（20项）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2" w:firstLineChars="200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1.北京市促进民营经济发展的地方立法问题</w:t>
      </w:r>
    </w:p>
    <w:p>
      <w:p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刘俊海    中国人民大学</w:t>
      </w:r>
    </w:p>
    <w:p>
      <w:p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立项编号：BLS(2026)B001</w:t>
      </w:r>
    </w:p>
    <w:p>
      <w:pPr>
        <w:numPr>
          <w:ilvl w:val="0"/>
          <w:numId w:val="0"/>
        </w:numPr>
        <w:snapToGrid w:val="0"/>
        <w:spacing w:line="560" w:lineRule="atLeast"/>
        <w:ind w:leftChars="200" w:firstLine="321" w:firstLineChars="100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2.《北京市湿地保护条例》修订研究</w:t>
      </w:r>
    </w:p>
    <w:p>
      <w:pPr>
        <w:numPr>
          <w:ilvl w:val="0"/>
          <w:numId w:val="0"/>
        </w:numPr>
        <w:snapToGrid w:val="0"/>
        <w:spacing w:line="560" w:lineRule="atLeast"/>
        <w:ind w:leftChars="200" w:firstLine="320" w:firstLineChars="1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王灿发    中国政法大学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ab/>
      </w:r>
    </w:p>
    <w:p>
      <w:pPr>
        <w:numPr>
          <w:ilvl w:val="0"/>
          <w:numId w:val="0"/>
        </w:numPr>
        <w:snapToGrid w:val="0"/>
        <w:spacing w:line="560" w:lineRule="atLeast"/>
        <w:ind w:leftChars="200" w:firstLine="320" w:firstLineChars="100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  <w:t>立项编号：BLS(2026)B00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2" w:firstLineChars="200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3.全域管制视域下首都无人机协同监管法治化体系研究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杨  楠    北京理工大学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立项编号：BLS(2026)B003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2" w:firstLineChars="200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4.北京自动驾驶汽车商业化运营中的法律问题研究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郑  翔    北京交通大学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立项编号：BLS(2026)B004-1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张  静    北京市通州区人民法院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立项编号：BLS(2026)B004-2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2" w:firstLineChars="200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5.北京市社会监护制度建设与组织培育创新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侯雪梅    北京工商大学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立项编号：BLS(2026)B005</w:t>
      </w:r>
    </w:p>
    <w:p>
      <w:pPr>
        <w:numPr>
          <w:ilvl w:val="0"/>
          <w:numId w:val="0"/>
        </w:numPr>
        <w:snapToGrid w:val="0"/>
        <w:spacing w:line="560" w:lineRule="atLeast"/>
        <w:ind w:firstLine="642" w:firstLineChars="200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6.涉外法治服务保障首都“四个中心”建设研究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李伯轩、王  珏    中国政法大学、北京市朝阳区人民检察院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立项编号：BLS(2026)B006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2" w:firstLineChars="200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7.罪错未成年人分级干预的法律衔接与机制完善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王剑波    首都经济贸易大学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立项编号：BLS(2026)B007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2" w:firstLineChars="200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8.涉企跨区域趋利性执法的治理路径优化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郭  华    中央财经大学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立项编号：BLS(2026)B008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2" w:firstLineChars="200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9.医疗纠纷司法案件专家论证制度完善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邓  勇    北京中医药大学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立项编号：BLS(2026)B009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2" w:firstLineChars="200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10.行刑衔接视野下刑法与治安管理处罚法的协调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商浩文    北京师范大学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立项编号：BLS(2026)B010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2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11.中华优秀传统法律文化在基层矛盾纠纷化解中的运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用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田海鑫    华北电力大学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立项编号：BLS(2026)B011-1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杨  艳    北京市第二中级人民法院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立项编号：BLS(2026)B011-2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2" w:firstLineChars="200"/>
        <w:rPr>
          <w:rFonts w:hint="eastAsia" w:ascii="仿宋" w:hAnsi="仿宋" w:eastAsia="仿宋" w:cs="仿宋"/>
          <w:b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12.</w:t>
      </w:r>
      <w:r>
        <w:rPr>
          <w:rFonts w:hint="eastAsia" w:ascii="仿宋" w:hAnsi="仿宋" w:eastAsia="仿宋" w:cs="仿宋"/>
          <w:b/>
          <w:bCs w:val="0"/>
          <w:sz w:val="32"/>
          <w:szCs w:val="32"/>
          <w:highlight w:val="none"/>
          <w:lang w:val="en-US" w:eastAsia="zh-CN"/>
        </w:rPr>
        <w:t>司法大数据驱动超大城市多元纠纷解决机制创新研究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default" w:ascii="仿宋" w:hAnsi="仿宋" w:eastAsia="仿宋" w:cs="仿宋"/>
          <w:bCs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bCs/>
          <w:sz w:val="32"/>
          <w:szCs w:val="32"/>
          <w:highlight w:val="none"/>
          <w:lang w:val="en-US" w:eastAsia="zh-CN"/>
        </w:rPr>
        <w:t>李俊慧    中国司法大数据研究院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eastAsia" w:ascii="仿宋" w:hAnsi="仿宋" w:eastAsia="仿宋" w:cs="仿宋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highlight w:val="none"/>
          <w:lang w:val="en-US" w:eastAsia="zh-CN"/>
        </w:rPr>
        <w:t>立项编号：BLS(2026)B012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2" w:firstLineChars="200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13.检察监督参与共建共治社会治理体系的实践探索研究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李  淮    最高人民检察院检察理论研究所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立项编号：BLS(2026)B013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2" w:firstLineChars="200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14.公安机关参与矛盾纠纷多元化解的法治化路径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陈星宇    中国人民公安大学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立项编号：BLS(2026)B014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2" w:firstLineChars="200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15.行政争议预防与实质性化解背景下的行政复议调解适用研究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ab/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朱  峥    中国人民大学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立项编号：BLS(2026)B015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2" w:firstLineChars="200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16.数据权益保护与人工智能侵权的立法规制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王  鑫    中国传媒大学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立项编号：BLS(2026)B016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2" w:firstLineChars="200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17.国际视野下数据权益保护体系化构建研究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ab/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刘丽娜    北京市人民检察院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ab/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立项编号：BLS(2026)B017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2" w:firstLineChars="200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18.涉人工智能知识产权司法保护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陈禹衡    北京理工大学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立项编号：BLS(2026)B018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2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19.平台内卷化竞争中知识产权滥用的法律规制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裴  轶    北京理工大学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ab/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立项编号：BLS(2026)B019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2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20.企业涉外知识产权风险防控与纠纷应对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吴莉婧    北方工业大学</w:t>
      </w:r>
    </w:p>
    <w:p>
      <w:pPr>
        <w:numPr>
          <w:ilvl w:val="0"/>
          <w:numId w:val="0"/>
        </w:numPr>
        <w:snapToGrid w:val="0"/>
        <w:spacing w:line="560" w:lineRule="atLeast"/>
        <w:ind w:leftChars="0" w:firstLine="640" w:firstLineChars="200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立项编号：BLS(2026)B020</w:t>
      </w:r>
    </w:p>
    <w:p>
      <w:pPr>
        <w:snapToGrid w:val="0"/>
        <w:spacing w:line="560" w:lineRule="atLeast"/>
        <w:ind w:firstLine="640" w:firstLineChars="200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</w:p>
    <w:p>
      <w:pPr>
        <w:snapToGrid w:val="0"/>
        <w:spacing w:line="560" w:lineRule="atLeast"/>
        <w:ind w:firstLine="640" w:firstLineChars="200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三、青年课题（1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项）</w:t>
      </w:r>
    </w:p>
    <w:p>
      <w:pPr>
        <w:snapToGrid w:val="0"/>
        <w:spacing w:line="560" w:lineRule="atLeast"/>
        <w:ind w:firstLine="642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1.《公司法》未出资股东责任规则的体系化适用研究 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ab/>
      </w:r>
    </w:p>
    <w:p>
      <w:p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山茂峰    中国人民大学</w:t>
      </w:r>
    </w:p>
    <w:p>
      <w:p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立项编号：BLS(2026)C001</w:t>
      </w:r>
    </w:p>
    <w:p>
      <w:pPr>
        <w:numPr>
          <w:ilvl w:val="0"/>
          <w:numId w:val="0"/>
        </w:numPr>
        <w:snapToGrid w:val="0"/>
        <w:spacing w:line="560" w:lineRule="atLeast"/>
        <w:ind w:firstLine="642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2.AI智能体的行为边界与责任划分研究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ab/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鲍奕含    中国政法大学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立项编号：BLS(2026)C002</w:t>
      </w:r>
    </w:p>
    <w:p>
      <w:pPr>
        <w:numPr>
          <w:ilvl w:val="0"/>
          <w:numId w:val="0"/>
        </w:numPr>
        <w:snapToGrid w:val="0"/>
        <w:spacing w:line="560" w:lineRule="atLeast"/>
        <w:ind w:leftChars="200" w:firstLine="321" w:firstLineChars="1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3.民事裁判技术的数智革新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ab/>
      </w:r>
    </w:p>
    <w:p>
      <w:pPr>
        <w:numPr>
          <w:ilvl w:val="0"/>
          <w:numId w:val="0"/>
        </w:numPr>
        <w:snapToGrid w:val="0"/>
        <w:spacing w:line="560" w:lineRule="atLeast"/>
        <w:ind w:leftChars="200" w:firstLine="320" w:firstLineChars="1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朱禹臣    中国人民大学</w:t>
      </w:r>
    </w:p>
    <w:p>
      <w:pPr>
        <w:numPr>
          <w:ilvl w:val="0"/>
          <w:numId w:val="0"/>
        </w:numPr>
        <w:snapToGrid w:val="0"/>
        <w:spacing w:line="560" w:lineRule="atLeast"/>
        <w:ind w:leftChars="200" w:firstLine="320" w:firstLineChars="1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立项编号：BLS(2026)C003</w:t>
      </w:r>
    </w:p>
    <w:p>
      <w:pPr>
        <w:numPr>
          <w:ilvl w:val="0"/>
          <w:numId w:val="0"/>
        </w:numPr>
        <w:snapToGrid w:val="0"/>
        <w:spacing w:line="560" w:lineRule="atLeast"/>
        <w:ind w:firstLine="642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4.未来产业风险分担视角下专利制度与非专利创新政策协同研究 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ab/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邵红红    北京工业大学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立项编号：BLS(2026)C004</w:t>
      </w:r>
    </w:p>
    <w:p>
      <w:pPr>
        <w:numPr>
          <w:ilvl w:val="0"/>
          <w:numId w:val="0"/>
        </w:numPr>
        <w:snapToGrid w:val="0"/>
        <w:spacing w:line="560" w:lineRule="atLeast"/>
        <w:ind w:firstLine="642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5.人智交互数据保护机制研究 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ab/>
      </w:r>
    </w:p>
    <w:p>
      <w:pPr>
        <w:numPr>
          <w:ilvl w:val="0"/>
          <w:numId w:val="0"/>
        </w:numPr>
        <w:snapToGrid w:val="0"/>
        <w:spacing w:line="560" w:lineRule="atLeast"/>
        <w:ind w:leftChars="200" w:firstLine="320" w:firstLineChars="1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林海伟    中华女子学院</w:t>
      </w:r>
    </w:p>
    <w:p>
      <w:pPr>
        <w:numPr>
          <w:ilvl w:val="0"/>
          <w:numId w:val="0"/>
        </w:numPr>
        <w:snapToGrid w:val="0"/>
        <w:spacing w:line="560" w:lineRule="atLeast"/>
        <w:ind w:leftChars="200" w:firstLine="320" w:firstLineChars="1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立项编号：BLS(2026)C005</w:t>
      </w:r>
    </w:p>
    <w:p>
      <w:pPr>
        <w:numPr>
          <w:ilvl w:val="0"/>
          <w:numId w:val="0"/>
        </w:numPr>
        <w:snapToGrid w:val="0"/>
        <w:spacing w:line="560" w:lineRule="atLeast"/>
        <w:ind w:leftChars="200" w:firstLine="321" w:firstLineChars="1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6.生成式人工智能训练数据的大规模许可机制研究 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ab/>
      </w:r>
    </w:p>
    <w:p>
      <w:pPr>
        <w:numPr>
          <w:ilvl w:val="0"/>
          <w:numId w:val="0"/>
        </w:numPr>
        <w:snapToGrid w:val="0"/>
        <w:spacing w:line="560" w:lineRule="atLeast"/>
        <w:ind w:leftChars="200" w:firstLine="320" w:firstLineChars="1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于  诚    中国人民大学</w:t>
      </w:r>
    </w:p>
    <w:p>
      <w:pPr>
        <w:numPr>
          <w:ilvl w:val="0"/>
          <w:numId w:val="0"/>
        </w:numPr>
        <w:snapToGrid w:val="0"/>
        <w:spacing w:line="560" w:lineRule="atLeast"/>
        <w:ind w:leftChars="200" w:firstLine="320" w:firstLineChars="1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立项编号：BLS(2026)C006</w:t>
      </w:r>
    </w:p>
    <w:p>
      <w:pPr>
        <w:numPr>
          <w:ilvl w:val="0"/>
          <w:numId w:val="0"/>
        </w:numPr>
        <w:snapToGrid w:val="0"/>
        <w:spacing w:line="560" w:lineRule="atLeast"/>
        <w:ind w:firstLine="642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7.《金融法》制定背景下金融数据共享的法律规制研究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彭雨晨    首都经济贸易大学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立项编号：BLS(2026)C007</w:t>
      </w:r>
    </w:p>
    <w:p>
      <w:pPr>
        <w:snapToGrid w:val="0"/>
        <w:spacing w:line="560" w:lineRule="atLeast"/>
        <w:ind w:firstLine="642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8.建设生育友好型社会背景下的生育权问题研究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ab/>
      </w:r>
    </w:p>
    <w:p>
      <w:p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刘皓阳    北京大学</w:t>
      </w:r>
    </w:p>
    <w:p>
      <w:p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立项编号：BLS(2026)C008</w:t>
      </w:r>
    </w:p>
    <w:p>
      <w:pPr>
        <w:numPr>
          <w:ilvl w:val="0"/>
          <w:numId w:val="0"/>
        </w:numPr>
        <w:snapToGrid w:val="0"/>
        <w:spacing w:line="560" w:lineRule="atLeast"/>
        <w:ind w:leftChars="200" w:firstLine="321" w:firstLineChars="1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9.合同法视角下的人工智能开源协议研究 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ab/>
      </w:r>
    </w:p>
    <w:p>
      <w:pPr>
        <w:numPr>
          <w:ilvl w:val="0"/>
          <w:numId w:val="0"/>
        </w:numPr>
        <w:snapToGrid w:val="0"/>
        <w:spacing w:line="560" w:lineRule="atLeast"/>
        <w:ind w:leftChars="200" w:firstLine="320" w:firstLineChars="1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包丁裕睿    中国人民大学</w:t>
      </w:r>
    </w:p>
    <w:p>
      <w:pPr>
        <w:numPr>
          <w:ilvl w:val="0"/>
          <w:numId w:val="0"/>
        </w:numPr>
        <w:snapToGrid w:val="0"/>
        <w:spacing w:line="560" w:lineRule="atLeast"/>
        <w:ind w:leftChars="200" w:firstLine="320" w:firstLineChars="1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立项编号：BLS(2026)C009</w:t>
      </w:r>
    </w:p>
    <w:p>
      <w:pPr>
        <w:numPr>
          <w:ilvl w:val="0"/>
          <w:numId w:val="0"/>
        </w:numPr>
        <w:snapToGrid w:val="0"/>
        <w:spacing w:line="560" w:lineRule="atLeast"/>
        <w:ind w:firstLine="642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10.通用大模型语料库建设中的知识产权合理使用与授权机制研究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ab/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韩炳楠    中国人民大学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立项编号：BLS(2026)C010</w:t>
      </w:r>
    </w:p>
    <w:p>
      <w:pPr>
        <w:numPr>
          <w:ilvl w:val="0"/>
          <w:numId w:val="0"/>
        </w:numPr>
        <w:snapToGrid w:val="0"/>
        <w:spacing w:line="560" w:lineRule="atLeast"/>
        <w:ind w:firstLine="642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11.开放共享安全理念下一体化数据市场的刑法保护研究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ab/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阮晨欣    中国政法大学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立项编号：BLS(2026)C011</w:t>
      </w:r>
    </w:p>
    <w:p>
      <w:pPr>
        <w:numPr>
          <w:ilvl w:val="0"/>
          <w:numId w:val="0"/>
        </w:numPr>
        <w:snapToGrid w:val="0"/>
        <w:spacing w:line="560" w:lineRule="atLeast"/>
        <w:ind w:firstLine="642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12.民营经济促进法与企业破产法的制度衔接研究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ab/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杨宜菲    首都经济贸易大学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立项编号：BLS(2026)C012</w:t>
      </w:r>
    </w:p>
    <w:p>
      <w:pPr>
        <w:numPr>
          <w:ilvl w:val="0"/>
          <w:numId w:val="0"/>
        </w:numPr>
        <w:snapToGrid w:val="0"/>
        <w:spacing w:line="560" w:lineRule="atLeast"/>
        <w:ind w:firstLine="642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13.数据域外管辖冲突的法治风险与中国治理路径研究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钟瑛琦    中国人民大学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立项编号：BLS(2026)C013</w:t>
      </w:r>
    </w:p>
    <w:p>
      <w:pPr>
        <w:numPr>
          <w:ilvl w:val="0"/>
          <w:numId w:val="0"/>
        </w:numPr>
        <w:snapToGrid w:val="0"/>
        <w:spacing w:line="560" w:lineRule="atLeast"/>
        <w:ind w:firstLine="642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14.走向可信治理：人工智能生成内容标识义务的制度构造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ab/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蒋鹏辉    中国政法大学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立项编号：BLS(2026)C014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snapToGrid w:val="0"/>
        <w:spacing w:line="560" w:lineRule="atLeast"/>
        <w:ind w:firstLine="640" w:firstLineChars="200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四、委托课题（6项）</w:t>
      </w:r>
    </w:p>
    <w:p>
      <w:pPr>
        <w:numPr>
          <w:ilvl w:val="0"/>
          <w:numId w:val="0"/>
        </w:numPr>
        <w:snapToGrid w:val="0"/>
        <w:spacing w:line="560" w:lineRule="atLeast"/>
        <w:ind w:firstLine="642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1.涉外检察视域下跨境金融犯罪问题研究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刘  晶    北京市人民检察院 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立项编号：BLS(2026)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D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01</w:t>
      </w:r>
    </w:p>
    <w:p>
      <w:pPr>
        <w:numPr>
          <w:ilvl w:val="0"/>
          <w:numId w:val="0"/>
        </w:numPr>
        <w:snapToGrid w:val="0"/>
        <w:spacing w:line="560" w:lineRule="atLeast"/>
        <w:ind w:firstLine="642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2.执法司法案件质量科学管理问题研究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张润平    北京市人民检察院第一分院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立项编号：BLS(2026)D002</w:t>
      </w:r>
    </w:p>
    <w:p>
      <w:pPr>
        <w:numPr>
          <w:ilvl w:val="0"/>
          <w:numId w:val="0"/>
        </w:numPr>
        <w:snapToGrid w:val="0"/>
        <w:spacing w:line="560" w:lineRule="atLeast"/>
        <w:ind w:firstLine="642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3.司法外部配套制度的系统化探索——以检察机关为视角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付  强    北京市海淀区人民检察院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立项编号：BLS(2026)D003</w:t>
      </w:r>
    </w:p>
    <w:p>
      <w:pPr>
        <w:numPr>
          <w:ilvl w:val="0"/>
          <w:numId w:val="0"/>
        </w:numPr>
        <w:snapToGrid w:val="0"/>
        <w:spacing w:line="560" w:lineRule="atLeast"/>
        <w:ind w:firstLine="642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4.危害税收征管犯罪问题研究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杜  岩    北京市丰台区人民法院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立项编号：BLS(2026)D004</w:t>
      </w:r>
    </w:p>
    <w:p>
      <w:pPr>
        <w:numPr>
          <w:ilvl w:val="0"/>
          <w:numId w:val="0"/>
        </w:numPr>
        <w:snapToGrid w:val="0"/>
        <w:spacing w:line="560" w:lineRule="atLeast"/>
        <w:ind w:firstLine="642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5.中国《证券法》域外适用的效力标准与实现机制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张  雯    北京金融法院 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立项编号：BLS(2026)D00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</w:t>
      </w:r>
    </w:p>
    <w:p>
      <w:pPr>
        <w:numPr>
          <w:ilvl w:val="0"/>
          <w:numId w:val="0"/>
        </w:numPr>
        <w:snapToGrid w:val="0"/>
        <w:spacing w:line="560" w:lineRule="atLeast"/>
        <w:ind w:firstLine="642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6.着力发挥政法职能作用 支撑和服务北京未来产业发展系列问题研究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姜  颖、宋  毅、赵瑞罡    北京互联网法院、北京金融法院、北京知识产权法院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立项编号：BLS(2026)D006</w:t>
      </w: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napToGrid w:val="0"/>
        <w:spacing w:line="560" w:lineRule="atLeas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E1A166A"/>
    <w:rsid w:val="00011A3F"/>
    <w:rsid w:val="000205BD"/>
    <w:rsid w:val="00020AD6"/>
    <w:rsid w:val="00043921"/>
    <w:rsid w:val="000D5E07"/>
    <w:rsid w:val="001336BF"/>
    <w:rsid w:val="0014013A"/>
    <w:rsid w:val="00192303"/>
    <w:rsid w:val="001E12BD"/>
    <w:rsid w:val="001E6D9E"/>
    <w:rsid w:val="001F21DB"/>
    <w:rsid w:val="001F6A68"/>
    <w:rsid w:val="00254B3B"/>
    <w:rsid w:val="0026251F"/>
    <w:rsid w:val="002672E1"/>
    <w:rsid w:val="00281C6D"/>
    <w:rsid w:val="002A3DF8"/>
    <w:rsid w:val="002A4D7B"/>
    <w:rsid w:val="002B29D1"/>
    <w:rsid w:val="002E5957"/>
    <w:rsid w:val="003258B8"/>
    <w:rsid w:val="0033600D"/>
    <w:rsid w:val="003678E6"/>
    <w:rsid w:val="003775B6"/>
    <w:rsid w:val="003C6B71"/>
    <w:rsid w:val="003D380E"/>
    <w:rsid w:val="003E054F"/>
    <w:rsid w:val="003F62E0"/>
    <w:rsid w:val="00413DCC"/>
    <w:rsid w:val="00460CE5"/>
    <w:rsid w:val="0056152C"/>
    <w:rsid w:val="0059039F"/>
    <w:rsid w:val="005A5B06"/>
    <w:rsid w:val="005C1C87"/>
    <w:rsid w:val="005E5829"/>
    <w:rsid w:val="00603471"/>
    <w:rsid w:val="00615563"/>
    <w:rsid w:val="006B5257"/>
    <w:rsid w:val="006D008B"/>
    <w:rsid w:val="006E2105"/>
    <w:rsid w:val="006F50B1"/>
    <w:rsid w:val="00747B3A"/>
    <w:rsid w:val="007D615D"/>
    <w:rsid w:val="007E339D"/>
    <w:rsid w:val="00811AA4"/>
    <w:rsid w:val="0082220A"/>
    <w:rsid w:val="00837121"/>
    <w:rsid w:val="00871FE3"/>
    <w:rsid w:val="008C4557"/>
    <w:rsid w:val="00902E8C"/>
    <w:rsid w:val="00986B67"/>
    <w:rsid w:val="009C4631"/>
    <w:rsid w:val="009D1A71"/>
    <w:rsid w:val="009D322D"/>
    <w:rsid w:val="00A12EE8"/>
    <w:rsid w:val="00A41B1A"/>
    <w:rsid w:val="00A65FC7"/>
    <w:rsid w:val="00A81BF6"/>
    <w:rsid w:val="00A9780E"/>
    <w:rsid w:val="00AA2BF8"/>
    <w:rsid w:val="00AF171A"/>
    <w:rsid w:val="00AF5762"/>
    <w:rsid w:val="00B05EC9"/>
    <w:rsid w:val="00B531C9"/>
    <w:rsid w:val="00B55566"/>
    <w:rsid w:val="00B602F8"/>
    <w:rsid w:val="00B7657B"/>
    <w:rsid w:val="00BB0C5A"/>
    <w:rsid w:val="00C04EC2"/>
    <w:rsid w:val="00C07F03"/>
    <w:rsid w:val="00C103CA"/>
    <w:rsid w:val="00C679EB"/>
    <w:rsid w:val="00C734CA"/>
    <w:rsid w:val="00C924BF"/>
    <w:rsid w:val="00CA0862"/>
    <w:rsid w:val="00CA175E"/>
    <w:rsid w:val="00CD7FFB"/>
    <w:rsid w:val="00CE6B10"/>
    <w:rsid w:val="00D20FFB"/>
    <w:rsid w:val="00D97B37"/>
    <w:rsid w:val="00DC7B4E"/>
    <w:rsid w:val="00DD1FC3"/>
    <w:rsid w:val="00DE79D0"/>
    <w:rsid w:val="00DF2E85"/>
    <w:rsid w:val="00DF4C88"/>
    <w:rsid w:val="00DF5880"/>
    <w:rsid w:val="00DF63D7"/>
    <w:rsid w:val="00E27136"/>
    <w:rsid w:val="00E4082F"/>
    <w:rsid w:val="00E573E9"/>
    <w:rsid w:val="00E754B8"/>
    <w:rsid w:val="00E945B2"/>
    <w:rsid w:val="00EB4F39"/>
    <w:rsid w:val="00EE1F2A"/>
    <w:rsid w:val="00EF3039"/>
    <w:rsid w:val="00F075DD"/>
    <w:rsid w:val="00F10266"/>
    <w:rsid w:val="00F216BC"/>
    <w:rsid w:val="00F27DF8"/>
    <w:rsid w:val="00F42821"/>
    <w:rsid w:val="00F42C4E"/>
    <w:rsid w:val="00F4500A"/>
    <w:rsid w:val="00F54135"/>
    <w:rsid w:val="00F8442F"/>
    <w:rsid w:val="00F97EBE"/>
    <w:rsid w:val="00FB3CC3"/>
    <w:rsid w:val="00FF2601"/>
    <w:rsid w:val="07A733DE"/>
    <w:rsid w:val="08352B27"/>
    <w:rsid w:val="0A7835CD"/>
    <w:rsid w:val="0FCDE51D"/>
    <w:rsid w:val="1E1A166A"/>
    <w:rsid w:val="26CE3DC5"/>
    <w:rsid w:val="29893E67"/>
    <w:rsid w:val="35FBFBA2"/>
    <w:rsid w:val="3FDBC788"/>
    <w:rsid w:val="46166AC9"/>
    <w:rsid w:val="467B41D2"/>
    <w:rsid w:val="47FB1BD7"/>
    <w:rsid w:val="540A0958"/>
    <w:rsid w:val="57164414"/>
    <w:rsid w:val="59F5B5CF"/>
    <w:rsid w:val="5DE706FE"/>
    <w:rsid w:val="5EEEBFCF"/>
    <w:rsid w:val="5FFB03D0"/>
    <w:rsid w:val="63FF38C8"/>
    <w:rsid w:val="67E0629A"/>
    <w:rsid w:val="6ABF9149"/>
    <w:rsid w:val="6C2134E3"/>
    <w:rsid w:val="6DFB2911"/>
    <w:rsid w:val="73AE84FE"/>
    <w:rsid w:val="7DBB147C"/>
    <w:rsid w:val="7DF3EB5C"/>
    <w:rsid w:val="7E7F2D86"/>
    <w:rsid w:val="7FEB67BD"/>
    <w:rsid w:val="ADEFA644"/>
    <w:rsid w:val="B3FBEA5F"/>
    <w:rsid w:val="C7FBC690"/>
    <w:rsid w:val="CFFB0DDF"/>
    <w:rsid w:val="CFFE232D"/>
    <w:rsid w:val="D8FF2152"/>
    <w:rsid w:val="DBF749A7"/>
    <w:rsid w:val="DFFF4840"/>
    <w:rsid w:val="E7BF6F92"/>
    <w:rsid w:val="EBAFE2A9"/>
    <w:rsid w:val="ECBABB63"/>
    <w:rsid w:val="EEEEE379"/>
    <w:rsid w:val="F6FE6B1C"/>
    <w:rsid w:val="FAFBE1A9"/>
    <w:rsid w:val="FBBB00E2"/>
    <w:rsid w:val="FBFA3B37"/>
    <w:rsid w:val="FEDE721A"/>
    <w:rsid w:val="FEED7E55"/>
    <w:rsid w:val="FF86E9DF"/>
    <w:rsid w:val="FFEB8320"/>
    <w:rsid w:val="FFEFA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qFormat/>
    <w:uiPriority w:val="0"/>
    <w:pPr>
      <w:jc w:val="left"/>
    </w:p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5"/>
    <w:qFormat/>
    <w:uiPriority w:val="0"/>
    <w:rPr>
      <w:b/>
      <w:bCs/>
    </w:r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页眉 字符"/>
    <w:basedOn w:val="9"/>
    <w:link w:val="6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4">
    <w:name w:val="批注文字 字符"/>
    <w:basedOn w:val="9"/>
    <w:link w:val="3"/>
    <w:qFormat/>
    <w:uiPriority w:val="0"/>
    <w:rPr>
      <w:kern w:val="2"/>
      <w:sz w:val="21"/>
      <w:szCs w:val="24"/>
    </w:rPr>
  </w:style>
  <w:style w:type="character" w:customStyle="1" w:styleId="15">
    <w:name w:val="批注主题 字符"/>
    <w:basedOn w:val="14"/>
    <w:link w:val="7"/>
    <w:qFormat/>
    <w:uiPriority w:val="0"/>
    <w:rPr>
      <w:b/>
      <w:bCs/>
      <w:kern w:val="2"/>
      <w:sz w:val="21"/>
      <w:szCs w:val="24"/>
    </w:rPr>
  </w:style>
  <w:style w:type="character" w:customStyle="1" w:styleId="16">
    <w:name w:val="批注框文本 字符"/>
    <w:basedOn w:val="9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1672</Words>
  <Characters>1060</Characters>
  <Lines>8</Lines>
  <Paragraphs>5</Paragraphs>
  <TotalTime>0</TotalTime>
  <ScaleCrop>false</ScaleCrop>
  <LinksUpToDate>false</LinksUpToDate>
  <CharactersWithSpaces>2727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2022-07-07T15:18:00Z</dcterms:created>
  <dc:creator>user</dc:creator>
  <cp:lastModifiedBy>lenovo</cp:lastModifiedBy>
  <cp:lastPrinted>2026-06-20T01:53:00Z</cp:lastPrinted>
  <dcterms:modified xsi:type="dcterms:W3CDTF">2026-06-25T15:51:03Z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