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eastAsia="方正小标宋简体"/>
          <w:sz w:val="36"/>
          <w:szCs w:val="36"/>
        </w:rPr>
      </w:pPr>
      <w:r>
        <w:rPr>
          <w:rFonts w:hint="eastAsia" w:ascii="方正小标宋简体" w:eastAsia="方正小标宋简体"/>
          <w:sz w:val="36"/>
          <w:szCs w:val="36"/>
        </w:rPr>
        <w:t>北京市法学会部门整体绩效评价报告</w:t>
      </w:r>
    </w:p>
    <w:p>
      <w:pPr>
        <w:jc w:val="center"/>
        <w:rPr>
          <w:rFonts w:ascii="仿宋_GB2312"/>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宋体"/>
          <w:color w:val="000000"/>
          <w:kern w:val="0"/>
          <w:sz w:val="32"/>
          <w:szCs w:val="32"/>
        </w:rPr>
      </w:pPr>
      <w:bookmarkStart w:id="2" w:name="_GoBack"/>
      <w:r>
        <w:rPr>
          <w:rFonts w:hint="eastAsia" w:ascii="黑体" w:hAnsi="黑体" w:eastAsia="黑体" w:cs="宋体"/>
          <w:color w:val="000000"/>
          <w:kern w:val="0"/>
          <w:sz w:val="32"/>
          <w:szCs w:val="32"/>
        </w:rPr>
        <w:t>一、部门概况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eastAsia="楷体_GB2312"/>
          <w:sz w:val="32"/>
          <w:szCs w:val="32"/>
        </w:rPr>
      </w:pPr>
      <w:r>
        <w:rPr>
          <w:rFonts w:hint="eastAsia" w:ascii="楷体_GB2312" w:eastAsia="楷体_GB2312"/>
          <w:sz w:val="32"/>
          <w:szCs w:val="32"/>
        </w:rPr>
        <w:t>（一）机构设置及职责工作任务情况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eastAsia="楷体_GB2312"/>
          <w:sz w:val="32"/>
          <w:szCs w:val="32"/>
        </w:rPr>
      </w:pPr>
      <w:r>
        <w:rPr>
          <w:rFonts w:hint="eastAsia" w:ascii="楷体_GB2312" w:eastAsia="楷体_GB2312"/>
          <w:sz w:val="32"/>
          <w:szCs w:val="32"/>
        </w:rPr>
        <w:t>1</w:t>
      </w:r>
      <w:r>
        <w:rPr>
          <w:rFonts w:ascii="楷体_GB2312" w:eastAsia="楷体_GB2312"/>
          <w:sz w:val="32"/>
          <w:szCs w:val="32"/>
        </w:rPr>
        <w:t>.</w:t>
      </w:r>
      <w:r>
        <w:rPr>
          <w:rFonts w:hint="eastAsia" w:ascii="楷体_GB2312" w:eastAsia="楷体_GB2312"/>
          <w:sz w:val="32"/>
          <w:szCs w:val="32"/>
        </w:rPr>
        <w:t>机构设置情况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根据北京市机构编制委员会办公室《关于印发北京市法学会机关主要职责、内设机构和人员编制方案的通知》（京编办函【2002】11号），设立北京市法学会。内设4个处室，分别为：办公室、研究部、联络部、社会工作部；下属2个预算单位，为：北京市法学会本级、北京市应用法学研究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eastAsia="楷体_GB2312"/>
          <w:sz w:val="32"/>
          <w:szCs w:val="32"/>
        </w:rPr>
      </w:pPr>
      <w:r>
        <w:rPr>
          <w:rFonts w:hint="eastAsia" w:ascii="楷体_GB2312" w:eastAsia="楷体_GB2312"/>
          <w:sz w:val="32"/>
          <w:szCs w:val="32"/>
        </w:rPr>
        <w:t>2</w:t>
      </w:r>
      <w:r>
        <w:rPr>
          <w:rFonts w:ascii="楷体_GB2312" w:eastAsia="楷体_GB2312"/>
          <w:sz w:val="32"/>
          <w:szCs w:val="32"/>
        </w:rPr>
        <w:t>.</w:t>
      </w:r>
      <w:r>
        <w:rPr>
          <w:rFonts w:hint="eastAsia" w:ascii="楷体_GB2312" w:eastAsia="楷体_GB2312"/>
          <w:sz w:val="32"/>
          <w:szCs w:val="32"/>
        </w:rPr>
        <w:t>单位性质及主要职责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北京市法学会是市委领导的人民团体、学术团体和群众团体，是政法战线的重要组成部分，是市委和市政府联系和团结首都广大法学法律工作者的桥梁和纽带，是加强社会主义民主法治建设，推进全面依法治市、建设法治中国首善之区的重要力量。主要职责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（1）建设首都核心法治智库，为市委市政府领导决策发挥“智囊团”和“参谋库”作用；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（2）团结首都广大法学工作者、法律工作者，围绕全市工作大局，为本市经济和社会发展服务，为政法工作服务；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（3）组织和指导各研究会开展多学科、多层次的法学研究活动，为社会主义法治建设提供理论支持；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（4）参与法律、法规的草拟、论证工作，对本市立法、司法、执法、普法等实践活动中的重大问题提出对策和建议；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（5）同境内外法学团体和法律团体联系工作，开展学术交流与合作，发挥对外法学交流的渠道作用；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（6）参与法治宣传和法学教育，普及法律常识，参与培养法学人才、法律人才工作；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（7）建立法学会系统的信息网络，收集和介绍境内外法学研究动态，宣传和推广创新研究成果，编辑出版法学、法律图书和刊物；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（8）负责会员及所属研究会的管理和联系工作，了解和反映法学界、法律界的意见和要求，维护会员的合法权益；</w:t>
      </w:r>
    </w:p>
    <w:p>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（9）贯彻市委关于加强社会建设的决议、决定，统筹指导全市法学研究组织和涉法类社会组织积极参与社会管理创新，组织形式多样的法律服务；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w:t>
      </w:r>
      <w:r>
        <w:rPr>
          <w:rFonts w:ascii="仿宋_GB2312" w:hAnsi="宋体" w:eastAsia="仿宋_GB2312" w:cs="宋体"/>
          <w:color w:val="000000"/>
          <w:kern w:val="0"/>
          <w:sz w:val="32"/>
          <w:szCs w:val="32"/>
        </w:rPr>
        <w:t>10</w:t>
      </w:r>
      <w:r>
        <w:rPr>
          <w:rFonts w:hint="eastAsia" w:ascii="仿宋_GB2312" w:hAnsi="宋体" w:eastAsia="仿宋_GB2312" w:cs="宋体"/>
          <w:color w:val="000000"/>
          <w:kern w:val="0"/>
          <w:sz w:val="32"/>
          <w:szCs w:val="32"/>
        </w:rPr>
        <w:t>）承担全市政法工作中的重大课题研究。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eastAsia="楷体_GB2312"/>
          <w:sz w:val="32"/>
          <w:szCs w:val="32"/>
        </w:rPr>
      </w:pPr>
      <w:r>
        <w:rPr>
          <w:rFonts w:hint="eastAsia" w:ascii="楷体_GB2312" w:eastAsia="楷体_GB2312"/>
          <w:sz w:val="32"/>
          <w:szCs w:val="32"/>
        </w:rPr>
        <w:t>（二）部门整体绩效目标设立情况。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北京市法学会2</w:t>
      </w:r>
      <w:r>
        <w:rPr>
          <w:rFonts w:ascii="仿宋_GB2312" w:hAnsi="宋体" w:eastAsia="仿宋_GB2312" w:cs="宋体"/>
          <w:color w:val="000000"/>
          <w:kern w:val="0"/>
          <w:sz w:val="32"/>
          <w:szCs w:val="32"/>
        </w:rPr>
        <w:t>022</w:t>
      </w:r>
      <w:r>
        <w:rPr>
          <w:rFonts w:hint="eastAsia" w:ascii="仿宋_GB2312" w:hAnsi="宋体" w:eastAsia="仿宋_GB2312" w:cs="宋体"/>
          <w:color w:val="000000"/>
          <w:kern w:val="0"/>
          <w:sz w:val="32"/>
          <w:szCs w:val="32"/>
        </w:rPr>
        <w:t>年度部门整体支出绩效目标是：深入贯彻落实习近平新时代中国特色社会主义思想，增强“四个意识”，坚定“四个自信”，做到“两个维护”，毫不动摇用习近平总书记全面依法治国新理念新思想新战略武装头脑、指导实践、推进工作。坚持北京市法学会是党领导的人民团体，是首都法学法律界的群众团体和学术团体，是政法战线重要组成部分的职能定位，履行好团结和带领首都广大法学法律工作者自觉做中国特色社会主义法治道路的践行者、法治中国首善之区的建设者、中国特色社会主义法治理论的发展者、德才兼备的社会主义法治人才的培养者的职责，去除“机关化、行政化、贵族化、娱乐化”，加强思想政治引领、推进组织体系建设、繁荣法学理论研究、提升法治宣传和法律服务水平、拓展法学交流、加强青年法学人才培养，不断增强政治性、先进性、群众性，全面提升履职能力和工作质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黑体" w:hAnsi="黑体" w:eastAsia="黑体" w:cs="宋体"/>
          <w:color w:val="000000"/>
          <w:kern w:val="0"/>
          <w:sz w:val="32"/>
          <w:szCs w:val="32"/>
        </w:rPr>
      </w:pPr>
      <w:r>
        <w:rPr>
          <w:rFonts w:hint="eastAsia" w:ascii="黑体" w:hAnsi="黑体" w:eastAsia="黑体" w:cs="宋体"/>
          <w:color w:val="000000"/>
          <w:kern w:val="0"/>
          <w:sz w:val="32"/>
          <w:szCs w:val="32"/>
        </w:rPr>
        <w:t>二</w:t>
      </w:r>
      <w:r>
        <w:rPr>
          <w:rFonts w:ascii="黑体" w:hAnsi="黑体" w:eastAsia="黑体" w:cs="宋体"/>
          <w:color w:val="000000"/>
          <w:kern w:val="0"/>
          <w:sz w:val="32"/>
          <w:szCs w:val="32"/>
        </w:rPr>
        <w:t>、</w:t>
      </w:r>
      <w:r>
        <w:rPr>
          <w:rFonts w:hint="eastAsia" w:ascii="黑体" w:hAnsi="黑体" w:eastAsia="黑体" w:cs="宋体"/>
          <w:color w:val="000000"/>
          <w:kern w:val="0"/>
          <w:sz w:val="32"/>
          <w:szCs w:val="32"/>
        </w:rPr>
        <w:t>当年</w:t>
      </w:r>
      <w:r>
        <w:rPr>
          <w:rFonts w:ascii="黑体" w:hAnsi="黑体" w:eastAsia="黑体" w:cs="宋体"/>
          <w:color w:val="000000"/>
          <w:kern w:val="0"/>
          <w:sz w:val="32"/>
          <w:szCs w:val="32"/>
        </w:rPr>
        <w:t>预算执行情况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202</w:t>
      </w:r>
      <w:r>
        <w:rPr>
          <w:rFonts w:ascii="仿宋_GB2312" w:hAnsi="宋体" w:eastAsia="仿宋_GB2312" w:cs="宋体"/>
          <w:color w:val="000000"/>
          <w:kern w:val="0"/>
          <w:sz w:val="32"/>
          <w:szCs w:val="32"/>
        </w:rPr>
        <w:t>2</w:t>
      </w:r>
      <w:r>
        <w:rPr>
          <w:rFonts w:hint="eastAsia" w:ascii="仿宋_GB2312" w:hAnsi="宋体" w:eastAsia="仿宋_GB2312" w:cs="宋体"/>
          <w:color w:val="000000"/>
          <w:kern w:val="0"/>
          <w:sz w:val="32"/>
          <w:szCs w:val="32"/>
        </w:rPr>
        <w:t>年</w:t>
      </w:r>
      <w:r>
        <w:rPr>
          <w:rFonts w:ascii="仿宋_GB2312" w:hAnsi="宋体" w:eastAsia="仿宋_GB2312" w:cs="宋体"/>
          <w:color w:val="000000"/>
          <w:kern w:val="0"/>
          <w:sz w:val="32"/>
          <w:szCs w:val="32"/>
        </w:rPr>
        <w:t>全年</w:t>
      </w:r>
      <w:r>
        <w:rPr>
          <w:rFonts w:hint="eastAsia" w:ascii="仿宋_GB2312" w:hAnsi="宋体" w:eastAsia="仿宋_GB2312" w:cs="宋体"/>
          <w:color w:val="000000"/>
          <w:kern w:val="0"/>
          <w:sz w:val="32"/>
          <w:szCs w:val="32"/>
        </w:rPr>
        <w:t>预算数</w:t>
      </w:r>
      <w:r>
        <w:rPr>
          <w:rFonts w:ascii="仿宋_GB2312" w:hAnsi="宋体" w:eastAsia="仿宋_GB2312" w:cs="宋体"/>
          <w:color w:val="000000"/>
          <w:kern w:val="0"/>
          <w:sz w:val="32"/>
          <w:szCs w:val="32"/>
        </w:rPr>
        <w:t>2,108.50</w:t>
      </w:r>
      <w:r>
        <w:rPr>
          <w:rFonts w:hint="eastAsia" w:ascii="仿宋_GB2312" w:hAnsi="宋体" w:eastAsia="仿宋_GB2312" w:cs="宋体"/>
          <w:color w:val="000000"/>
          <w:kern w:val="0"/>
          <w:sz w:val="32"/>
          <w:szCs w:val="32"/>
        </w:rPr>
        <w:t>万元</w:t>
      </w:r>
      <w:r>
        <w:rPr>
          <w:rFonts w:ascii="仿宋_GB2312" w:hAnsi="宋体" w:eastAsia="仿宋_GB2312" w:cs="宋体"/>
          <w:color w:val="000000"/>
          <w:kern w:val="0"/>
          <w:sz w:val="32"/>
          <w:szCs w:val="32"/>
        </w:rPr>
        <w:t>，</w:t>
      </w:r>
      <w:r>
        <w:rPr>
          <w:rFonts w:hint="eastAsia" w:ascii="仿宋_GB2312" w:hAnsi="宋体" w:eastAsia="仿宋_GB2312" w:cs="宋体"/>
          <w:color w:val="000000"/>
          <w:kern w:val="0"/>
          <w:sz w:val="32"/>
          <w:szCs w:val="32"/>
        </w:rPr>
        <w:t>其中</w:t>
      </w:r>
      <w:r>
        <w:rPr>
          <w:rFonts w:ascii="仿宋_GB2312" w:hAnsi="宋体" w:eastAsia="仿宋_GB2312" w:cs="宋体"/>
          <w:color w:val="000000"/>
          <w:kern w:val="0"/>
          <w:sz w:val="32"/>
          <w:szCs w:val="32"/>
        </w:rPr>
        <w:t>，基本</w:t>
      </w:r>
      <w:r>
        <w:rPr>
          <w:rFonts w:hint="eastAsia" w:ascii="仿宋_GB2312" w:hAnsi="宋体" w:eastAsia="仿宋_GB2312" w:cs="宋体"/>
          <w:color w:val="000000"/>
          <w:kern w:val="0"/>
          <w:sz w:val="32"/>
          <w:szCs w:val="32"/>
        </w:rPr>
        <w:t>支出</w:t>
      </w:r>
      <w:r>
        <w:rPr>
          <w:rFonts w:ascii="仿宋_GB2312" w:hAnsi="宋体" w:eastAsia="仿宋_GB2312" w:cs="宋体"/>
          <w:color w:val="000000"/>
          <w:kern w:val="0"/>
          <w:sz w:val="32"/>
          <w:szCs w:val="32"/>
        </w:rPr>
        <w:t>预算数1443.79万元，</w:t>
      </w:r>
      <w:r>
        <w:rPr>
          <w:rFonts w:hint="eastAsia" w:ascii="仿宋_GB2312" w:hAnsi="宋体" w:eastAsia="仿宋_GB2312" w:cs="宋体"/>
          <w:color w:val="000000"/>
          <w:kern w:val="0"/>
          <w:sz w:val="32"/>
          <w:szCs w:val="32"/>
        </w:rPr>
        <w:t>项目支出预算数</w:t>
      </w:r>
      <w:r>
        <w:rPr>
          <w:rFonts w:ascii="仿宋_GB2312" w:hAnsi="宋体" w:eastAsia="仿宋_GB2312" w:cs="宋体"/>
          <w:color w:val="000000"/>
          <w:kern w:val="0"/>
          <w:sz w:val="32"/>
          <w:szCs w:val="32"/>
        </w:rPr>
        <w:t>664.71万元</w:t>
      </w:r>
      <w:r>
        <w:rPr>
          <w:rFonts w:hint="eastAsia" w:ascii="仿宋_GB2312" w:hAnsi="宋体" w:eastAsia="仿宋_GB2312" w:cs="宋体"/>
          <w:color w:val="000000"/>
          <w:kern w:val="0"/>
          <w:sz w:val="32"/>
          <w:szCs w:val="32"/>
        </w:rPr>
        <w:t>。</w:t>
      </w:r>
      <w:r>
        <w:rPr>
          <w:rFonts w:ascii="仿宋_GB2312" w:hAnsi="宋体" w:eastAsia="仿宋_GB2312" w:cs="宋体"/>
          <w:color w:val="000000"/>
          <w:kern w:val="0"/>
          <w:sz w:val="32"/>
          <w:szCs w:val="32"/>
        </w:rPr>
        <w:t>资金总体</w:t>
      </w:r>
      <w:r>
        <w:rPr>
          <w:rFonts w:hint="eastAsia" w:ascii="仿宋_GB2312" w:hAnsi="宋体" w:eastAsia="仿宋_GB2312" w:cs="宋体"/>
          <w:color w:val="000000"/>
          <w:kern w:val="0"/>
          <w:sz w:val="32"/>
          <w:szCs w:val="32"/>
        </w:rPr>
        <w:t>支出</w:t>
      </w:r>
      <w:r>
        <w:rPr>
          <w:rFonts w:ascii="仿宋_GB2312" w:hAnsi="宋体" w:eastAsia="仿宋_GB2312" w:cs="宋体"/>
          <w:color w:val="000000"/>
          <w:kern w:val="0"/>
          <w:sz w:val="32"/>
          <w:szCs w:val="32"/>
        </w:rPr>
        <w:t>2073.25万元，其中，基本支出1437.34万元，项目</w:t>
      </w:r>
      <w:r>
        <w:rPr>
          <w:rFonts w:hint="eastAsia" w:ascii="仿宋_GB2312" w:hAnsi="宋体" w:eastAsia="仿宋_GB2312" w:cs="宋体"/>
          <w:color w:val="000000"/>
          <w:kern w:val="0"/>
          <w:sz w:val="32"/>
          <w:szCs w:val="32"/>
        </w:rPr>
        <w:t>支出</w:t>
      </w:r>
      <w:r>
        <w:rPr>
          <w:rFonts w:ascii="仿宋_GB2312" w:hAnsi="宋体" w:eastAsia="仿宋_GB2312" w:cs="宋体"/>
          <w:color w:val="000000"/>
          <w:kern w:val="0"/>
          <w:sz w:val="32"/>
          <w:szCs w:val="32"/>
        </w:rPr>
        <w:t>635.91万元。</w:t>
      </w:r>
      <w:r>
        <w:rPr>
          <w:rFonts w:hint="eastAsia" w:ascii="仿宋_GB2312" w:hAnsi="宋体" w:eastAsia="仿宋_GB2312" w:cs="宋体"/>
          <w:color w:val="000000"/>
          <w:kern w:val="0"/>
          <w:sz w:val="32"/>
          <w:szCs w:val="32"/>
        </w:rPr>
        <w:t>预算</w:t>
      </w:r>
      <w:r>
        <w:rPr>
          <w:rFonts w:ascii="仿宋_GB2312" w:hAnsi="宋体" w:eastAsia="仿宋_GB2312" w:cs="宋体"/>
          <w:color w:val="000000"/>
          <w:kern w:val="0"/>
          <w:sz w:val="32"/>
          <w:szCs w:val="32"/>
        </w:rPr>
        <w:t>执行率为98.33</w:t>
      </w:r>
      <w:r>
        <w:rPr>
          <w:rFonts w:hint="eastAsia" w:ascii="仿宋_GB2312" w:hAnsi="宋体" w:eastAsia="仿宋_GB2312" w:cs="宋体"/>
          <w:color w:val="000000"/>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105" w:leftChars="50" w:firstLine="480" w:firstLineChars="150"/>
        <w:textAlignment w:val="auto"/>
        <w:rPr>
          <w:rFonts w:ascii="黑体" w:hAnsi="黑体" w:eastAsia="黑体" w:cs="宋体"/>
          <w:color w:val="000000"/>
          <w:kern w:val="0"/>
          <w:sz w:val="32"/>
          <w:szCs w:val="32"/>
        </w:rPr>
      </w:pPr>
      <w:r>
        <w:rPr>
          <w:rFonts w:hint="eastAsia" w:ascii="黑体" w:hAnsi="黑体" w:eastAsia="黑体" w:cs="宋体"/>
          <w:color w:val="000000"/>
          <w:kern w:val="0"/>
          <w:sz w:val="32"/>
          <w:szCs w:val="32"/>
        </w:rPr>
        <w:t>三</w:t>
      </w:r>
      <w:r>
        <w:rPr>
          <w:rFonts w:ascii="黑体" w:hAnsi="黑体" w:eastAsia="黑体" w:cs="宋体"/>
          <w:color w:val="000000"/>
          <w:kern w:val="0"/>
          <w:sz w:val="32"/>
          <w:szCs w:val="32"/>
        </w:rPr>
        <w:t>、整体绩效目标实现情况</w:t>
      </w:r>
    </w:p>
    <w:p>
      <w:pPr>
        <w:keepNext w:val="0"/>
        <w:keepLines w:val="0"/>
        <w:pageBreakBefore w:val="0"/>
        <w:widowControl w:val="0"/>
        <w:kinsoku/>
        <w:wordWrap/>
        <w:overflowPunct/>
        <w:topLinePunct w:val="0"/>
        <w:autoSpaceDE/>
        <w:autoSpaceDN/>
        <w:bidi w:val="0"/>
        <w:adjustRightInd/>
        <w:snapToGrid/>
        <w:spacing w:line="560" w:lineRule="exact"/>
        <w:ind w:left="105" w:leftChars="50" w:firstLine="480" w:firstLineChars="150"/>
        <w:textAlignment w:val="auto"/>
        <w:rPr>
          <w:rFonts w:ascii="楷体_GB2312" w:eastAsia="楷体_GB2312"/>
          <w:sz w:val="32"/>
          <w:szCs w:val="32"/>
        </w:rPr>
      </w:pPr>
      <w:r>
        <w:rPr>
          <w:rFonts w:hint="eastAsia" w:ascii="楷体_GB2312" w:eastAsia="楷体_GB2312"/>
          <w:sz w:val="32"/>
          <w:szCs w:val="32"/>
        </w:rPr>
        <w:t>（一）产出完成情况分析</w:t>
      </w:r>
    </w:p>
    <w:p>
      <w:pPr>
        <w:keepNext w:val="0"/>
        <w:keepLines w:val="0"/>
        <w:pageBreakBefore w:val="0"/>
        <w:widowControl w:val="0"/>
        <w:kinsoku/>
        <w:wordWrap/>
        <w:overflowPunct/>
        <w:topLinePunct w:val="0"/>
        <w:autoSpaceDE/>
        <w:autoSpaceDN/>
        <w:bidi w:val="0"/>
        <w:adjustRightInd/>
        <w:snapToGrid/>
        <w:spacing w:line="560" w:lineRule="exact"/>
        <w:ind w:left="105" w:leftChars="50" w:firstLine="480" w:firstLineChars="150"/>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1.产出数量</w:t>
      </w:r>
    </w:p>
    <w:p>
      <w:pPr>
        <w:keepNext w:val="0"/>
        <w:keepLines w:val="0"/>
        <w:pageBreakBefore w:val="0"/>
        <w:widowControl w:val="0"/>
        <w:kinsoku/>
        <w:wordWrap/>
        <w:overflowPunct/>
        <w:topLinePunct w:val="0"/>
        <w:autoSpaceDE/>
        <w:autoSpaceDN/>
        <w:bidi w:val="0"/>
        <w:adjustRightInd/>
        <w:snapToGrid/>
        <w:spacing w:line="560" w:lineRule="exact"/>
        <w:ind w:left="105" w:leftChars="50" w:firstLine="480" w:firstLineChars="150"/>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产出实际完成率和质量达标率都达到年初指标值。</w:t>
      </w:r>
    </w:p>
    <w:p>
      <w:pPr>
        <w:keepNext w:val="0"/>
        <w:keepLines w:val="0"/>
        <w:pageBreakBefore w:val="0"/>
        <w:widowControl w:val="0"/>
        <w:kinsoku/>
        <w:wordWrap/>
        <w:overflowPunct/>
        <w:topLinePunct w:val="0"/>
        <w:autoSpaceDE/>
        <w:autoSpaceDN/>
        <w:bidi w:val="0"/>
        <w:adjustRightInd/>
        <w:snapToGrid/>
        <w:spacing w:line="560" w:lineRule="exact"/>
        <w:ind w:left="105" w:leftChars="50" w:firstLine="480" w:firstLineChars="150"/>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2.产出</w:t>
      </w:r>
      <w:r>
        <w:rPr>
          <w:rFonts w:ascii="仿宋_GB2312" w:hAnsi="宋体" w:eastAsia="仿宋_GB2312" w:cs="宋体"/>
          <w:color w:val="000000"/>
          <w:kern w:val="0"/>
          <w:sz w:val="32"/>
          <w:szCs w:val="32"/>
        </w:rPr>
        <w:t>质量</w:t>
      </w:r>
    </w:p>
    <w:p>
      <w:pPr>
        <w:keepNext w:val="0"/>
        <w:keepLines w:val="0"/>
        <w:pageBreakBefore w:val="0"/>
        <w:widowControl w:val="0"/>
        <w:kinsoku/>
        <w:wordWrap/>
        <w:overflowPunct/>
        <w:topLinePunct w:val="0"/>
        <w:autoSpaceDE/>
        <w:autoSpaceDN/>
        <w:bidi w:val="0"/>
        <w:adjustRightInd/>
        <w:snapToGrid/>
        <w:spacing w:line="560" w:lineRule="exact"/>
        <w:ind w:left="105" w:leftChars="50" w:firstLine="480" w:firstLineChars="150"/>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产出实际完成率和质量达标率都达到预期目标。</w:t>
      </w:r>
    </w:p>
    <w:p>
      <w:pPr>
        <w:keepNext w:val="0"/>
        <w:keepLines w:val="0"/>
        <w:pageBreakBefore w:val="0"/>
        <w:widowControl w:val="0"/>
        <w:kinsoku/>
        <w:wordWrap/>
        <w:overflowPunct/>
        <w:topLinePunct w:val="0"/>
        <w:autoSpaceDE/>
        <w:autoSpaceDN/>
        <w:bidi w:val="0"/>
        <w:adjustRightInd/>
        <w:snapToGrid/>
        <w:spacing w:line="560" w:lineRule="exact"/>
        <w:ind w:left="105" w:leftChars="50" w:firstLine="480" w:firstLineChars="150"/>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3.产出</w:t>
      </w:r>
      <w:r>
        <w:rPr>
          <w:rFonts w:ascii="仿宋_GB2312" w:hAnsi="宋体" w:eastAsia="仿宋_GB2312" w:cs="宋体"/>
          <w:color w:val="000000"/>
          <w:kern w:val="0"/>
          <w:sz w:val="32"/>
          <w:szCs w:val="32"/>
        </w:rPr>
        <w:t>进度</w:t>
      </w:r>
    </w:p>
    <w:p>
      <w:pPr>
        <w:keepNext w:val="0"/>
        <w:keepLines w:val="0"/>
        <w:pageBreakBefore w:val="0"/>
        <w:widowControl w:val="0"/>
        <w:kinsoku/>
        <w:wordWrap/>
        <w:overflowPunct/>
        <w:topLinePunct w:val="0"/>
        <w:autoSpaceDE/>
        <w:autoSpaceDN/>
        <w:bidi w:val="0"/>
        <w:adjustRightInd/>
        <w:snapToGrid/>
        <w:spacing w:line="560" w:lineRule="exact"/>
        <w:ind w:left="105" w:leftChars="50" w:firstLine="480" w:firstLineChars="150"/>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产出时效性达到年初预算指标。</w:t>
      </w:r>
    </w:p>
    <w:p>
      <w:pPr>
        <w:keepNext w:val="0"/>
        <w:keepLines w:val="0"/>
        <w:pageBreakBefore w:val="0"/>
        <w:widowControl w:val="0"/>
        <w:kinsoku/>
        <w:wordWrap/>
        <w:overflowPunct/>
        <w:topLinePunct w:val="0"/>
        <w:autoSpaceDE/>
        <w:autoSpaceDN/>
        <w:bidi w:val="0"/>
        <w:adjustRightInd/>
        <w:snapToGrid/>
        <w:spacing w:line="560" w:lineRule="exact"/>
        <w:ind w:left="105" w:leftChars="50" w:firstLine="480" w:firstLineChars="150"/>
        <w:textAlignment w:val="auto"/>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4.</w:t>
      </w:r>
      <w:r>
        <w:rPr>
          <w:rFonts w:hint="eastAsia" w:ascii="仿宋_GB2312" w:hAnsi="宋体" w:eastAsia="仿宋_GB2312" w:cs="宋体"/>
          <w:color w:val="000000"/>
          <w:kern w:val="0"/>
          <w:sz w:val="32"/>
          <w:szCs w:val="32"/>
        </w:rPr>
        <w:t>产出</w:t>
      </w:r>
      <w:r>
        <w:rPr>
          <w:rFonts w:ascii="仿宋_GB2312" w:hAnsi="宋体" w:eastAsia="仿宋_GB2312" w:cs="宋体"/>
          <w:color w:val="000000"/>
          <w:kern w:val="0"/>
          <w:sz w:val="32"/>
          <w:szCs w:val="32"/>
        </w:rPr>
        <w:t>成本</w:t>
      </w:r>
      <w:r>
        <w:rPr>
          <w:rFonts w:hint="eastAsia" w:ascii="仿宋_GB2312" w:hAnsi="宋体" w:eastAsia="仿宋_GB2312" w:cs="宋体"/>
          <w:color w:val="000000"/>
          <w:kern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105" w:leftChars="50" w:firstLine="480" w:firstLineChars="150"/>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我单位202</w:t>
      </w:r>
      <w:r>
        <w:rPr>
          <w:rFonts w:ascii="仿宋_GB2312" w:hAnsi="宋体" w:eastAsia="仿宋_GB2312" w:cs="宋体"/>
          <w:color w:val="000000"/>
          <w:kern w:val="0"/>
          <w:sz w:val="32"/>
          <w:szCs w:val="32"/>
        </w:rPr>
        <w:t>2</w:t>
      </w:r>
      <w:r>
        <w:rPr>
          <w:rFonts w:hint="eastAsia" w:ascii="仿宋_GB2312" w:hAnsi="宋体" w:eastAsia="仿宋_GB2312" w:cs="宋体"/>
          <w:color w:val="000000"/>
          <w:kern w:val="0"/>
          <w:sz w:val="32"/>
          <w:szCs w:val="32"/>
        </w:rPr>
        <w:t>年部门预算执行情况：总体支出率</w:t>
      </w:r>
      <w:r>
        <w:rPr>
          <w:rFonts w:ascii="仿宋_GB2312" w:hAnsi="宋体" w:eastAsia="仿宋_GB2312" w:cs="宋体"/>
          <w:color w:val="000000"/>
          <w:kern w:val="0"/>
          <w:sz w:val="32"/>
          <w:szCs w:val="32"/>
        </w:rPr>
        <w:t>98.33%</w:t>
      </w:r>
      <w:r>
        <w:rPr>
          <w:rFonts w:hint="eastAsia" w:ascii="仿宋_GB2312" w:hAnsi="宋体" w:eastAsia="仿宋_GB2312" w:cs="宋体"/>
          <w:color w:val="000000"/>
          <w:kern w:val="0"/>
          <w:sz w:val="32"/>
          <w:szCs w:val="32"/>
        </w:rPr>
        <w:t>，其中基本经费支出率</w:t>
      </w:r>
      <w:r>
        <w:rPr>
          <w:rFonts w:ascii="仿宋_GB2312" w:hAnsi="宋体" w:eastAsia="仿宋_GB2312" w:cs="宋体"/>
          <w:color w:val="000000"/>
          <w:kern w:val="0"/>
          <w:sz w:val="32"/>
          <w:szCs w:val="32"/>
        </w:rPr>
        <w:t>99.55</w:t>
      </w:r>
      <w:r>
        <w:rPr>
          <w:rFonts w:hint="eastAsia" w:ascii="仿宋_GB2312" w:hAnsi="宋体" w:eastAsia="仿宋_GB2312" w:cs="宋体"/>
          <w:color w:val="000000"/>
          <w:kern w:val="0"/>
          <w:sz w:val="32"/>
          <w:szCs w:val="32"/>
        </w:rPr>
        <w:t>%，项目经费支出率</w:t>
      </w:r>
      <w:r>
        <w:rPr>
          <w:rFonts w:ascii="仿宋_GB2312" w:hAnsi="宋体" w:eastAsia="仿宋_GB2312" w:cs="宋体"/>
          <w:color w:val="000000"/>
          <w:kern w:val="0"/>
          <w:sz w:val="32"/>
          <w:szCs w:val="32"/>
        </w:rPr>
        <w:t>95.67</w:t>
      </w:r>
      <w:r>
        <w:rPr>
          <w:rFonts w:hint="eastAsia" w:ascii="仿宋_GB2312" w:hAnsi="宋体" w:eastAsia="仿宋_GB2312" w:cs="宋体"/>
          <w:color w:val="000000"/>
          <w:kern w:val="0"/>
          <w:sz w:val="32"/>
          <w:szCs w:val="32"/>
        </w:rPr>
        <w:t>%，由于疫情原因结余</w:t>
      </w:r>
      <w:r>
        <w:rPr>
          <w:rFonts w:ascii="仿宋_GB2312" w:hAnsi="宋体" w:eastAsia="仿宋_GB2312" w:cs="宋体"/>
          <w:color w:val="000000"/>
          <w:kern w:val="0"/>
          <w:sz w:val="32"/>
          <w:szCs w:val="32"/>
        </w:rPr>
        <w:t>35.24</w:t>
      </w:r>
      <w:r>
        <w:rPr>
          <w:rFonts w:hint="eastAsia" w:ascii="仿宋_GB2312" w:hAnsi="宋体" w:eastAsia="仿宋_GB2312" w:cs="宋体"/>
          <w:color w:val="000000"/>
          <w:kern w:val="0"/>
          <w:sz w:val="32"/>
          <w:szCs w:val="32"/>
        </w:rPr>
        <w:t>万元。基本支出保障了北京市法学会机构日常正常运行，项目产出基本与部门年度计划和部门职能相匹配。</w:t>
      </w:r>
    </w:p>
    <w:p>
      <w:pPr>
        <w:keepNext w:val="0"/>
        <w:keepLines w:val="0"/>
        <w:pageBreakBefore w:val="0"/>
        <w:widowControl w:val="0"/>
        <w:kinsoku/>
        <w:wordWrap/>
        <w:overflowPunct/>
        <w:topLinePunct w:val="0"/>
        <w:autoSpaceDE/>
        <w:autoSpaceDN/>
        <w:bidi w:val="0"/>
        <w:adjustRightInd/>
        <w:snapToGrid/>
        <w:spacing w:line="560" w:lineRule="exact"/>
        <w:ind w:left="105" w:leftChars="50" w:firstLine="480" w:firstLineChars="150"/>
        <w:textAlignment w:val="auto"/>
        <w:rPr>
          <w:rFonts w:ascii="楷体_GB2312" w:eastAsia="楷体_GB2312"/>
          <w:sz w:val="32"/>
          <w:szCs w:val="32"/>
        </w:rPr>
      </w:pPr>
      <w:r>
        <w:rPr>
          <w:rFonts w:hint="eastAsia" w:ascii="楷体_GB2312" w:eastAsia="楷体_GB2312"/>
          <w:sz w:val="32"/>
          <w:szCs w:val="32"/>
        </w:rPr>
        <w:t>（二）效果</w:t>
      </w:r>
      <w:r>
        <w:rPr>
          <w:rFonts w:ascii="楷体_GB2312" w:eastAsia="楷体_GB2312"/>
          <w:sz w:val="32"/>
          <w:szCs w:val="32"/>
        </w:rPr>
        <w:t>实现情况分析</w:t>
      </w:r>
    </w:p>
    <w:p>
      <w:pPr>
        <w:keepNext w:val="0"/>
        <w:keepLines w:val="0"/>
        <w:pageBreakBefore w:val="0"/>
        <w:widowControl w:val="0"/>
        <w:kinsoku/>
        <w:wordWrap/>
        <w:overflowPunct/>
        <w:topLinePunct w:val="0"/>
        <w:autoSpaceDE/>
        <w:autoSpaceDN/>
        <w:bidi w:val="0"/>
        <w:adjustRightInd/>
        <w:snapToGrid/>
        <w:spacing w:line="560" w:lineRule="exact"/>
        <w:ind w:left="105" w:leftChars="50" w:firstLine="480" w:firstLineChars="150"/>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1.经济</w:t>
      </w:r>
      <w:r>
        <w:rPr>
          <w:rFonts w:ascii="仿宋_GB2312" w:hAnsi="宋体" w:eastAsia="仿宋_GB2312" w:cs="宋体"/>
          <w:color w:val="000000"/>
          <w:kern w:val="0"/>
          <w:sz w:val="32"/>
          <w:szCs w:val="32"/>
        </w:rPr>
        <w:t>效益</w:t>
      </w:r>
    </w:p>
    <w:p>
      <w:pPr>
        <w:keepNext w:val="0"/>
        <w:keepLines w:val="0"/>
        <w:pageBreakBefore w:val="0"/>
        <w:widowControl w:val="0"/>
        <w:kinsoku/>
        <w:wordWrap/>
        <w:overflowPunct/>
        <w:topLinePunct w:val="0"/>
        <w:autoSpaceDE/>
        <w:autoSpaceDN/>
        <w:bidi w:val="0"/>
        <w:adjustRightInd/>
        <w:snapToGrid/>
        <w:spacing w:line="560" w:lineRule="exact"/>
        <w:ind w:left="105" w:leftChars="50" w:firstLine="480" w:firstLineChars="150"/>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无。</w:t>
      </w:r>
    </w:p>
    <w:p>
      <w:pPr>
        <w:keepNext w:val="0"/>
        <w:keepLines w:val="0"/>
        <w:pageBreakBefore w:val="0"/>
        <w:widowControl w:val="0"/>
        <w:kinsoku/>
        <w:wordWrap/>
        <w:overflowPunct/>
        <w:topLinePunct w:val="0"/>
        <w:autoSpaceDE/>
        <w:autoSpaceDN/>
        <w:bidi w:val="0"/>
        <w:adjustRightInd/>
        <w:snapToGrid/>
        <w:spacing w:line="560" w:lineRule="exact"/>
        <w:ind w:left="105" w:leftChars="50" w:firstLine="480" w:firstLineChars="150"/>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2.社会效益</w:t>
      </w:r>
    </w:p>
    <w:p>
      <w:pPr>
        <w:keepNext w:val="0"/>
        <w:keepLines w:val="0"/>
        <w:pageBreakBefore w:val="0"/>
        <w:widowControl w:val="0"/>
        <w:kinsoku/>
        <w:wordWrap/>
        <w:overflowPunct/>
        <w:topLinePunct w:val="0"/>
        <w:autoSpaceDE/>
        <w:autoSpaceDN/>
        <w:bidi w:val="0"/>
        <w:adjustRightInd/>
        <w:snapToGrid/>
        <w:spacing w:line="560" w:lineRule="exact"/>
        <w:ind w:left="105" w:leftChars="50" w:firstLine="480" w:firstLineChars="150"/>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推进法学理论创新，聚焦引领繁荣法学研究履好职、尽好责，勇于结合我国法治建设的丰富实践不断推进理论创新，让马克思主义法治理论中国化创新成果焕发出强大生命力和创造力；积极推动法治宣传工作，以学习贯彻宣传习近平新时代中国特色社会主义法治思想为主题，组织系列“双百”活动；突出重点，服务改革，提升质量，不断提积极开展法律服务。服务社会治理创新，服务人民群众，服务经济社会发展。加强青年法学人才培养，定期举办党性教育等活动，全力培养一支政治坚定、学术精湛、敢于斗争的中坚力量。深化法学会改革，以党建为抓手完善组织体系，以高级人才库、青年英才队伍建设为牵引，充分发挥桥梁纽带作用，把首都广大法学法律工作者更加紧密地团结在党和政府周围。</w:t>
      </w:r>
      <w:r>
        <w:rPr>
          <w:rFonts w:ascii="仿宋_GB2312" w:hAnsi="宋体" w:eastAsia="仿宋_GB2312" w:cs="宋体"/>
          <w:color w:val="000000"/>
          <w:kern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105" w:leftChars="50" w:firstLine="480" w:firstLineChars="150"/>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3.环境效益</w:t>
      </w:r>
    </w:p>
    <w:p>
      <w:pPr>
        <w:keepNext w:val="0"/>
        <w:keepLines w:val="0"/>
        <w:pageBreakBefore w:val="0"/>
        <w:widowControl w:val="0"/>
        <w:kinsoku/>
        <w:wordWrap/>
        <w:overflowPunct/>
        <w:topLinePunct w:val="0"/>
        <w:autoSpaceDE/>
        <w:autoSpaceDN/>
        <w:bidi w:val="0"/>
        <w:adjustRightInd/>
        <w:snapToGrid/>
        <w:spacing w:line="560" w:lineRule="exact"/>
        <w:ind w:left="105" w:leftChars="50" w:firstLine="480" w:firstLineChars="150"/>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无。</w:t>
      </w:r>
    </w:p>
    <w:p>
      <w:pPr>
        <w:keepNext w:val="0"/>
        <w:keepLines w:val="0"/>
        <w:pageBreakBefore w:val="0"/>
        <w:widowControl w:val="0"/>
        <w:kinsoku/>
        <w:wordWrap/>
        <w:overflowPunct/>
        <w:topLinePunct w:val="0"/>
        <w:autoSpaceDE/>
        <w:autoSpaceDN/>
        <w:bidi w:val="0"/>
        <w:adjustRightInd/>
        <w:snapToGrid/>
        <w:spacing w:line="560" w:lineRule="exact"/>
        <w:ind w:left="105" w:leftChars="50" w:firstLine="480" w:firstLineChars="150"/>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4.可持续</w:t>
      </w:r>
      <w:r>
        <w:rPr>
          <w:rFonts w:ascii="仿宋_GB2312" w:hAnsi="宋体" w:eastAsia="仿宋_GB2312" w:cs="宋体"/>
          <w:color w:val="000000"/>
          <w:kern w:val="0"/>
          <w:sz w:val="32"/>
          <w:szCs w:val="32"/>
        </w:rPr>
        <w:t>性影响</w:t>
      </w:r>
    </w:p>
    <w:p>
      <w:pPr>
        <w:keepNext w:val="0"/>
        <w:keepLines w:val="0"/>
        <w:pageBreakBefore w:val="0"/>
        <w:widowControl w:val="0"/>
        <w:kinsoku/>
        <w:wordWrap/>
        <w:overflowPunct/>
        <w:topLinePunct w:val="0"/>
        <w:autoSpaceDE/>
        <w:autoSpaceDN/>
        <w:bidi w:val="0"/>
        <w:adjustRightInd/>
        <w:snapToGrid/>
        <w:spacing w:line="560" w:lineRule="exact"/>
        <w:ind w:left="105" w:leftChars="50" w:firstLine="480" w:firstLineChars="150"/>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服务社会治理创新，服务人民群众，服务经济社会发展。</w:t>
      </w:r>
    </w:p>
    <w:p>
      <w:pPr>
        <w:keepNext w:val="0"/>
        <w:keepLines w:val="0"/>
        <w:pageBreakBefore w:val="0"/>
        <w:widowControl w:val="0"/>
        <w:kinsoku/>
        <w:wordWrap/>
        <w:overflowPunct/>
        <w:topLinePunct w:val="0"/>
        <w:autoSpaceDE/>
        <w:autoSpaceDN/>
        <w:bidi w:val="0"/>
        <w:adjustRightInd/>
        <w:snapToGrid/>
        <w:spacing w:line="560" w:lineRule="exact"/>
        <w:ind w:left="105" w:leftChars="50" w:firstLine="480" w:firstLineChars="150"/>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5.服务对象</w:t>
      </w:r>
      <w:r>
        <w:rPr>
          <w:rFonts w:ascii="仿宋_GB2312" w:hAnsi="宋体" w:eastAsia="仿宋_GB2312" w:cs="宋体"/>
          <w:color w:val="000000"/>
          <w:kern w:val="0"/>
          <w:sz w:val="32"/>
          <w:szCs w:val="32"/>
        </w:rPr>
        <w:t>满意度</w:t>
      </w:r>
    </w:p>
    <w:p>
      <w:pPr>
        <w:keepNext w:val="0"/>
        <w:keepLines w:val="0"/>
        <w:pageBreakBefore w:val="0"/>
        <w:widowControl w:val="0"/>
        <w:kinsoku/>
        <w:wordWrap/>
        <w:overflowPunct/>
        <w:topLinePunct w:val="0"/>
        <w:autoSpaceDE/>
        <w:autoSpaceDN/>
        <w:bidi w:val="0"/>
        <w:adjustRightInd/>
        <w:snapToGrid/>
        <w:spacing w:line="560" w:lineRule="exact"/>
        <w:ind w:left="105" w:leftChars="50" w:firstLine="480" w:firstLineChars="150"/>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加强思想政治引领、推进组织体系建设、繁荣法学理论研究、提升法治宣传和法律服务水平、拓展法学交流、加强青年法学人才培养，不断增强政治性、先进性、群众性，全面提升履职能力和工作质效。</w:t>
      </w:r>
    </w:p>
    <w:p>
      <w:pPr>
        <w:keepNext w:val="0"/>
        <w:keepLines w:val="0"/>
        <w:pageBreakBefore w:val="0"/>
        <w:widowControl w:val="0"/>
        <w:kinsoku/>
        <w:wordWrap/>
        <w:overflowPunct/>
        <w:topLinePunct w:val="0"/>
        <w:autoSpaceDE/>
        <w:autoSpaceDN/>
        <w:bidi w:val="0"/>
        <w:adjustRightInd/>
        <w:snapToGrid/>
        <w:spacing w:line="560" w:lineRule="exact"/>
        <w:ind w:left="105" w:leftChars="50" w:firstLine="480" w:firstLineChars="150"/>
        <w:textAlignment w:val="auto"/>
        <w:rPr>
          <w:rFonts w:ascii="黑体" w:hAnsi="黑体" w:eastAsia="黑体" w:cs="宋体"/>
          <w:color w:val="000000"/>
          <w:kern w:val="0"/>
          <w:sz w:val="32"/>
          <w:szCs w:val="32"/>
        </w:rPr>
      </w:pPr>
      <w:r>
        <w:rPr>
          <w:rFonts w:hint="eastAsia" w:ascii="黑体" w:hAnsi="黑体" w:eastAsia="黑体" w:cs="宋体"/>
          <w:color w:val="000000"/>
          <w:kern w:val="0"/>
          <w:sz w:val="32"/>
          <w:szCs w:val="32"/>
        </w:rPr>
        <w:t>四</w:t>
      </w:r>
      <w:r>
        <w:rPr>
          <w:rFonts w:ascii="黑体" w:hAnsi="黑体" w:eastAsia="黑体" w:cs="宋体"/>
          <w:color w:val="000000"/>
          <w:kern w:val="0"/>
          <w:sz w:val="32"/>
          <w:szCs w:val="32"/>
        </w:rPr>
        <w:t>、预算管理</w:t>
      </w:r>
      <w:r>
        <w:rPr>
          <w:rFonts w:hint="eastAsia" w:ascii="黑体" w:hAnsi="黑体" w:eastAsia="黑体" w:cs="宋体"/>
          <w:color w:val="000000"/>
          <w:kern w:val="0"/>
          <w:sz w:val="32"/>
          <w:szCs w:val="32"/>
        </w:rPr>
        <w:t>情况分</w:t>
      </w:r>
      <w:r>
        <w:rPr>
          <w:rFonts w:ascii="黑体" w:hAnsi="黑体" w:eastAsia="黑体" w:cs="宋体"/>
          <w:color w:val="000000"/>
          <w:kern w:val="0"/>
          <w:sz w:val="32"/>
          <w:szCs w:val="32"/>
        </w:rPr>
        <w:t>析</w:t>
      </w:r>
    </w:p>
    <w:p>
      <w:pPr>
        <w:keepNext w:val="0"/>
        <w:keepLines w:val="0"/>
        <w:pageBreakBefore w:val="0"/>
        <w:widowControl w:val="0"/>
        <w:kinsoku/>
        <w:wordWrap/>
        <w:overflowPunct/>
        <w:topLinePunct w:val="0"/>
        <w:autoSpaceDE/>
        <w:autoSpaceDN/>
        <w:bidi w:val="0"/>
        <w:adjustRightInd/>
        <w:snapToGrid/>
        <w:spacing w:line="560" w:lineRule="exact"/>
        <w:ind w:left="105" w:leftChars="50" w:firstLine="480" w:firstLineChars="150"/>
        <w:textAlignment w:val="auto"/>
        <w:rPr>
          <w:rFonts w:ascii="楷体_GB2312" w:eastAsia="楷体_GB2312"/>
          <w:sz w:val="32"/>
          <w:szCs w:val="32"/>
        </w:rPr>
      </w:pPr>
      <w:r>
        <w:rPr>
          <w:rFonts w:hint="eastAsia" w:ascii="楷体_GB2312" w:eastAsia="楷体_GB2312"/>
          <w:sz w:val="32"/>
          <w:szCs w:val="32"/>
        </w:rPr>
        <w:t>（一）财务管理</w:t>
      </w:r>
    </w:p>
    <w:p>
      <w:pPr>
        <w:keepNext w:val="0"/>
        <w:keepLines w:val="0"/>
        <w:pageBreakBefore w:val="0"/>
        <w:widowControl w:val="0"/>
        <w:kinsoku/>
        <w:wordWrap/>
        <w:overflowPunct/>
        <w:topLinePunct w:val="0"/>
        <w:autoSpaceDE/>
        <w:autoSpaceDN/>
        <w:bidi w:val="0"/>
        <w:adjustRightInd/>
        <w:snapToGrid/>
        <w:spacing w:line="560" w:lineRule="exact"/>
        <w:ind w:left="105" w:leftChars="50" w:firstLine="480" w:firstLineChars="150"/>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1.财务</w:t>
      </w:r>
      <w:r>
        <w:rPr>
          <w:rFonts w:ascii="仿宋_GB2312" w:hAnsi="宋体" w:eastAsia="仿宋_GB2312" w:cs="宋体"/>
          <w:color w:val="000000"/>
          <w:kern w:val="0"/>
          <w:sz w:val="32"/>
          <w:szCs w:val="32"/>
        </w:rPr>
        <w:t>管理制度健全性</w:t>
      </w:r>
    </w:p>
    <w:p>
      <w:pPr>
        <w:keepNext w:val="0"/>
        <w:keepLines w:val="0"/>
        <w:pageBreakBefore w:val="0"/>
        <w:widowControl w:val="0"/>
        <w:kinsoku/>
        <w:wordWrap/>
        <w:overflowPunct/>
        <w:topLinePunct w:val="0"/>
        <w:autoSpaceDE/>
        <w:autoSpaceDN/>
        <w:bidi w:val="0"/>
        <w:adjustRightInd/>
        <w:snapToGrid/>
        <w:spacing w:line="560" w:lineRule="exact"/>
        <w:ind w:left="105" w:leftChars="50" w:firstLine="480" w:firstLineChars="150"/>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我单位为加强预算管理已制定预算资金管理办法、内部财务管理制度、会计核算制度等管理制度；相关管理制度合法、合规、完整；相关管理制度已得到有效执行。</w:t>
      </w:r>
    </w:p>
    <w:p>
      <w:pPr>
        <w:keepNext w:val="0"/>
        <w:keepLines w:val="0"/>
        <w:pageBreakBefore w:val="0"/>
        <w:widowControl w:val="0"/>
        <w:kinsoku/>
        <w:wordWrap/>
        <w:overflowPunct/>
        <w:topLinePunct w:val="0"/>
        <w:autoSpaceDE/>
        <w:autoSpaceDN/>
        <w:bidi w:val="0"/>
        <w:adjustRightInd/>
        <w:snapToGrid/>
        <w:spacing w:line="560" w:lineRule="exact"/>
        <w:ind w:left="105" w:leftChars="50" w:firstLine="480" w:firstLineChars="150"/>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2.资金使用合规性</w:t>
      </w:r>
      <w:r>
        <w:rPr>
          <w:rFonts w:ascii="仿宋_GB2312" w:hAnsi="宋体" w:eastAsia="仿宋_GB2312" w:cs="宋体"/>
          <w:color w:val="000000"/>
          <w:kern w:val="0"/>
          <w:sz w:val="32"/>
          <w:szCs w:val="32"/>
        </w:rPr>
        <w:t>和安全性</w:t>
      </w:r>
    </w:p>
    <w:p>
      <w:pPr>
        <w:keepNext w:val="0"/>
        <w:keepLines w:val="0"/>
        <w:pageBreakBefore w:val="0"/>
        <w:widowControl w:val="0"/>
        <w:kinsoku/>
        <w:wordWrap/>
        <w:overflowPunct/>
        <w:topLinePunct w:val="0"/>
        <w:autoSpaceDE/>
        <w:autoSpaceDN/>
        <w:bidi w:val="0"/>
        <w:adjustRightInd/>
        <w:snapToGrid/>
        <w:spacing w:line="560" w:lineRule="exact"/>
        <w:ind w:left="105" w:leftChars="50" w:firstLine="480" w:firstLineChars="150"/>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我单位使用预算资金符合国家财经法规和财务管理制度规定以及专项资金管理办法的规定；资金的使用有完整的审批程序和手续；资金使用符合部门预算批复的用途；不存在截留、挤占、挪用、虚列支出等情况。</w:t>
      </w:r>
    </w:p>
    <w:p>
      <w:pPr>
        <w:keepNext w:val="0"/>
        <w:keepLines w:val="0"/>
        <w:pageBreakBefore w:val="0"/>
        <w:widowControl w:val="0"/>
        <w:kinsoku/>
        <w:wordWrap/>
        <w:overflowPunct/>
        <w:topLinePunct w:val="0"/>
        <w:autoSpaceDE/>
        <w:autoSpaceDN/>
        <w:bidi w:val="0"/>
        <w:adjustRightInd/>
        <w:snapToGrid/>
        <w:spacing w:line="560" w:lineRule="exact"/>
        <w:ind w:left="105" w:leftChars="50" w:firstLine="480" w:firstLineChars="150"/>
        <w:textAlignment w:val="auto"/>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3.</w:t>
      </w:r>
      <w:r>
        <w:rPr>
          <w:rFonts w:hint="eastAsia" w:ascii="仿宋_GB2312" w:hAnsi="宋体" w:eastAsia="仿宋_GB2312" w:cs="宋体"/>
          <w:color w:val="000000"/>
          <w:kern w:val="0"/>
          <w:sz w:val="32"/>
          <w:szCs w:val="32"/>
        </w:rPr>
        <w:t>会计</w:t>
      </w:r>
      <w:r>
        <w:rPr>
          <w:rFonts w:ascii="仿宋_GB2312" w:hAnsi="宋体" w:eastAsia="仿宋_GB2312" w:cs="宋体"/>
          <w:color w:val="000000"/>
          <w:kern w:val="0"/>
          <w:sz w:val="32"/>
          <w:szCs w:val="32"/>
        </w:rPr>
        <w:t>基础信息完善性</w:t>
      </w:r>
    </w:p>
    <w:p>
      <w:pPr>
        <w:keepNext w:val="0"/>
        <w:keepLines w:val="0"/>
        <w:pageBreakBefore w:val="0"/>
        <w:widowControl w:val="0"/>
        <w:kinsoku/>
        <w:wordWrap/>
        <w:overflowPunct/>
        <w:topLinePunct w:val="0"/>
        <w:autoSpaceDE/>
        <w:autoSpaceDN/>
        <w:bidi w:val="0"/>
        <w:adjustRightInd/>
        <w:snapToGrid/>
        <w:spacing w:line="560" w:lineRule="exact"/>
        <w:ind w:left="105" w:leftChars="50" w:firstLine="480" w:firstLineChars="150"/>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我单位基础数据信息和会计信息资料真实、完整、准确。</w:t>
      </w:r>
    </w:p>
    <w:p>
      <w:pPr>
        <w:keepNext w:val="0"/>
        <w:keepLines w:val="0"/>
        <w:pageBreakBefore w:val="0"/>
        <w:widowControl w:val="0"/>
        <w:kinsoku/>
        <w:wordWrap/>
        <w:overflowPunct/>
        <w:topLinePunct w:val="0"/>
        <w:autoSpaceDE/>
        <w:autoSpaceDN/>
        <w:bidi w:val="0"/>
        <w:adjustRightInd/>
        <w:snapToGrid/>
        <w:spacing w:line="560" w:lineRule="exact"/>
        <w:ind w:left="105" w:leftChars="50" w:firstLine="480" w:firstLineChars="150"/>
        <w:textAlignment w:val="auto"/>
        <w:rPr>
          <w:rFonts w:ascii="楷体_GB2312" w:eastAsia="楷体_GB2312"/>
          <w:sz w:val="32"/>
          <w:szCs w:val="32"/>
        </w:rPr>
      </w:pPr>
      <w:r>
        <w:rPr>
          <w:rFonts w:hint="eastAsia" w:ascii="楷体_GB2312" w:eastAsia="楷体_GB2312"/>
          <w:sz w:val="32"/>
          <w:szCs w:val="32"/>
        </w:rPr>
        <w:t>（二）资产管理</w:t>
      </w:r>
    </w:p>
    <w:p>
      <w:pPr>
        <w:keepNext w:val="0"/>
        <w:keepLines w:val="0"/>
        <w:pageBreakBefore w:val="0"/>
        <w:widowControl w:val="0"/>
        <w:kinsoku/>
        <w:wordWrap/>
        <w:overflowPunct/>
        <w:topLinePunct w:val="0"/>
        <w:autoSpaceDE/>
        <w:autoSpaceDN/>
        <w:bidi w:val="0"/>
        <w:adjustRightInd/>
        <w:snapToGrid/>
        <w:spacing w:line="560" w:lineRule="exact"/>
        <w:ind w:left="105" w:leftChars="50" w:firstLine="480" w:firstLineChars="150"/>
        <w:textAlignment w:val="auto"/>
        <w:rPr>
          <w:rFonts w:ascii="楷体_GB2312" w:eastAsia="楷体_GB2312"/>
          <w:sz w:val="32"/>
          <w:szCs w:val="32"/>
        </w:rPr>
      </w:pPr>
      <w:r>
        <w:rPr>
          <w:rFonts w:hint="eastAsia" w:ascii="楷体_GB2312" w:eastAsia="楷体_GB2312"/>
          <w:sz w:val="32"/>
          <w:szCs w:val="32"/>
        </w:rPr>
        <w:t>1）管理制度健全性</w:t>
      </w:r>
    </w:p>
    <w:p>
      <w:pPr>
        <w:keepNext w:val="0"/>
        <w:keepLines w:val="0"/>
        <w:pageBreakBefore w:val="0"/>
        <w:widowControl w:val="0"/>
        <w:kinsoku/>
        <w:wordWrap/>
        <w:overflowPunct/>
        <w:topLinePunct w:val="0"/>
        <w:autoSpaceDE/>
        <w:autoSpaceDN/>
        <w:bidi w:val="0"/>
        <w:adjustRightInd/>
        <w:snapToGrid/>
        <w:spacing w:line="560" w:lineRule="exact"/>
        <w:ind w:left="105" w:leftChars="50" w:firstLine="480" w:firstLineChars="150"/>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我单位已制定资产管理制度；相关资金管理制度合法、合规、完整；相关资产管理制度有效执行。</w:t>
      </w:r>
    </w:p>
    <w:p>
      <w:pPr>
        <w:keepNext w:val="0"/>
        <w:keepLines w:val="0"/>
        <w:pageBreakBefore w:val="0"/>
        <w:widowControl w:val="0"/>
        <w:kinsoku/>
        <w:wordWrap/>
        <w:overflowPunct/>
        <w:topLinePunct w:val="0"/>
        <w:autoSpaceDE/>
        <w:autoSpaceDN/>
        <w:bidi w:val="0"/>
        <w:adjustRightInd/>
        <w:snapToGrid/>
        <w:spacing w:line="560" w:lineRule="exact"/>
        <w:ind w:left="105" w:leftChars="50" w:firstLine="480" w:firstLineChars="150"/>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我单位资产保存完整；资产配置合理；资产处置合规；资产账务管理合规账实相符。</w:t>
      </w:r>
    </w:p>
    <w:p>
      <w:pPr>
        <w:keepNext w:val="0"/>
        <w:keepLines w:val="0"/>
        <w:pageBreakBefore w:val="0"/>
        <w:widowControl w:val="0"/>
        <w:kinsoku/>
        <w:wordWrap/>
        <w:overflowPunct/>
        <w:topLinePunct w:val="0"/>
        <w:autoSpaceDE/>
        <w:autoSpaceDN/>
        <w:bidi w:val="0"/>
        <w:adjustRightInd/>
        <w:snapToGrid/>
        <w:spacing w:line="560" w:lineRule="exact"/>
        <w:ind w:left="105" w:leftChars="50" w:firstLine="480" w:firstLineChars="150"/>
        <w:textAlignment w:val="auto"/>
        <w:rPr>
          <w:rFonts w:ascii="楷体_GB2312" w:eastAsia="楷体_GB2312"/>
          <w:sz w:val="32"/>
          <w:szCs w:val="32"/>
        </w:rPr>
      </w:pPr>
      <w:r>
        <w:rPr>
          <w:rFonts w:hint="eastAsia" w:ascii="楷体_GB2312" w:eastAsia="楷体_GB2312"/>
          <w:sz w:val="32"/>
          <w:szCs w:val="32"/>
        </w:rPr>
        <w:t>（三）绩效</w:t>
      </w:r>
      <w:r>
        <w:rPr>
          <w:rFonts w:ascii="楷体_GB2312" w:eastAsia="楷体_GB2312"/>
          <w:sz w:val="32"/>
          <w:szCs w:val="32"/>
        </w:rPr>
        <w:t>管理</w:t>
      </w:r>
    </w:p>
    <w:p>
      <w:pPr>
        <w:keepNext w:val="0"/>
        <w:keepLines w:val="0"/>
        <w:pageBreakBefore w:val="0"/>
        <w:widowControl w:val="0"/>
        <w:kinsoku/>
        <w:wordWrap/>
        <w:overflowPunct/>
        <w:topLinePunct w:val="0"/>
        <w:autoSpaceDE/>
        <w:autoSpaceDN/>
        <w:bidi w:val="0"/>
        <w:adjustRightInd/>
        <w:snapToGrid/>
        <w:spacing w:line="560" w:lineRule="exact"/>
        <w:ind w:left="105" w:leftChars="50" w:firstLine="480" w:firstLineChars="150"/>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我单位及时对绩效信息进行汇总分析整理。</w:t>
      </w:r>
    </w:p>
    <w:p>
      <w:pPr>
        <w:keepNext w:val="0"/>
        <w:keepLines w:val="0"/>
        <w:pageBreakBefore w:val="0"/>
        <w:widowControl w:val="0"/>
        <w:kinsoku/>
        <w:wordWrap/>
        <w:overflowPunct/>
        <w:topLinePunct w:val="0"/>
        <w:autoSpaceDE/>
        <w:autoSpaceDN/>
        <w:bidi w:val="0"/>
        <w:adjustRightInd/>
        <w:snapToGrid/>
        <w:spacing w:line="560" w:lineRule="exact"/>
        <w:ind w:left="105" w:leftChars="50" w:firstLine="480" w:firstLineChars="150"/>
        <w:textAlignment w:val="auto"/>
        <w:rPr>
          <w:rFonts w:ascii="楷体_GB2312" w:eastAsia="楷体_GB2312"/>
          <w:sz w:val="32"/>
          <w:szCs w:val="32"/>
        </w:rPr>
      </w:pPr>
      <w:r>
        <w:rPr>
          <w:rFonts w:hint="eastAsia" w:ascii="楷体_GB2312" w:eastAsia="楷体_GB2312"/>
          <w:sz w:val="32"/>
          <w:szCs w:val="32"/>
        </w:rPr>
        <w:t>（四）结转结余率</w:t>
      </w:r>
    </w:p>
    <w:p>
      <w:pPr>
        <w:keepNext w:val="0"/>
        <w:keepLines w:val="0"/>
        <w:pageBreakBefore w:val="0"/>
        <w:widowControl w:val="0"/>
        <w:kinsoku/>
        <w:wordWrap/>
        <w:overflowPunct/>
        <w:topLinePunct w:val="0"/>
        <w:autoSpaceDE/>
        <w:autoSpaceDN/>
        <w:bidi w:val="0"/>
        <w:adjustRightInd/>
        <w:snapToGrid/>
        <w:spacing w:line="560" w:lineRule="exact"/>
        <w:ind w:left="105" w:leftChars="50" w:firstLine="480" w:firstLineChars="150"/>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20</w:t>
      </w:r>
      <w:r>
        <w:rPr>
          <w:rFonts w:ascii="仿宋_GB2312" w:hAnsi="宋体" w:eastAsia="仿宋_GB2312" w:cs="宋体"/>
          <w:color w:val="000000"/>
          <w:kern w:val="0"/>
          <w:sz w:val="32"/>
          <w:szCs w:val="32"/>
        </w:rPr>
        <w:t>22</w:t>
      </w:r>
      <w:r>
        <w:rPr>
          <w:rFonts w:hint="eastAsia" w:ascii="仿宋_GB2312" w:hAnsi="宋体" w:eastAsia="仿宋_GB2312" w:cs="宋体"/>
          <w:color w:val="000000"/>
          <w:kern w:val="0"/>
          <w:sz w:val="32"/>
          <w:szCs w:val="32"/>
        </w:rPr>
        <w:t>年底我单位预算结转结余</w:t>
      </w:r>
      <w:r>
        <w:rPr>
          <w:rFonts w:ascii="仿宋_GB2312" w:hAnsi="宋体" w:eastAsia="仿宋_GB2312" w:cs="宋体"/>
          <w:color w:val="000000"/>
          <w:kern w:val="0"/>
          <w:sz w:val="32"/>
          <w:szCs w:val="32"/>
        </w:rPr>
        <w:t>35.24</w:t>
      </w:r>
      <w:r>
        <w:rPr>
          <w:rFonts w:hint="eastAsia" w:ascii="仿宋_GB2312" w:hAnsi="宋体" w:eastAsia="仿宋_GB2312" w:cs="宋体"/>
          <w:color w:val="000000"/>
          <w:kern w:val="0"/>
          <w:sz w:val="32"/>
          <w:szCs w:val="32"/>
        </w:rPr>
        <w:t>万元，</w:t>
      </w:r>
    </w:p>
    <w:p>
      <w:pPr>
        <w:keepNext w:val="0"/>
        <w:keepLines w:val="0"/>
        <w:pageBreakBefore w:val="0"/>
        <w:widowControl w:val="0"/>
        <w:kinsoku/>
        <w:wordWrap/>
        <w:overflowPunct/>
        <w:topLinePunct w:val="0"/>
        <w:autoSpaceDE/>
        <w:autoSpaceDN/>
        <w:bidi w:val="0"/>
        <w:adjustRightInd/>
        <w:snapToGrid/>
        <w:spacing w:line="560" w:lineRule="exact"/>
        <w:ind w:left="105" w:leftChars="50" w:firstLine="480" w:firstLineChars="150"/>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结转结余率＝结转结余总额/支出预算数×100%=</w:t>
      </w:r>
      <w:r>
        <w:rPr>
          <w:rFonts w:ascii="仿宋_GB2312" w:hAnsi="宋体" w:eastAsia="仿宋_GB2312" w:cs="宋体"/>
          <w:color w:val="000000"/>
          <w:kern w:val="0"/>
          <w:sz w:val="32"/>
          <w:szCs w:val="32"/>
        </w:rPr>
        <w:t>35.24</w:t>
      </w:r>
      <w:r>
        <w:rPr>
          <w:rFonts w:hint="eastAsia" w:ascii="仿宋_GB2312" w:hAnsi="宋体" w:eastAsia="仿宋_GB2312" w:cs="宋体"/>
          <w:color w:val="000000"/>
          <w:kern w:val="0"/>
          <w:sz w:val="32"/>
          <w:szCs w:val="32"/>
        </w:rPr>
        <w:t>/</w:t>
      </w:r>
      <w:r>
        <w:rPr>
          <w:rFonts w:ascii="仿宋_GB2312" w:hAnsi="宋体" w:eastAsia="仿宋_GB2312" w:cs="宋体"/>
          <w:color w:val="000000"/>
          <w:kern w:val="0"/>
          <w:sz w:val="32"/>
          <w:szCs w:val="32"/>
        </w:rPr>
        <w:t>2073.25</w:t>
      </w:r>
      <w:r>
        <w:rPr>
          <w:rFonts w:hint="eastAsia" w:ascii="仿宋_GB2312" w:hAnsi="宋体" w:eastAsia="仿宋_GB2312" w:cs="宋体"/>
          <w:color w:val="000000"/>
          <w:kern w:val="0"/>
          <w:sz w:val="32"/>
          <w:szCs w:val="32"/>
        </w:rPr>
        <w:t>×100%=</w:t>
      </w:r>
      <w:r>
        <w:rPr>
          <w:rFonts w:ascii="仿宋_GB2312" w:hAnsi="宋体" w:eastAsia="仿宋_GB2312" w:cs="宋体"/>
          <w:color w:val="000000"/>
          <w:kern w:val="0"/>
          <w:sz w:val="32"/>
          <w:szCs w:val="32"/>
        </w:rPr>
        <w:t>1.70%</w:t>
      </w:r>
      <w:r>
        <w:rPr>
          <w:rFonts w:hint="eastAsia" w:ascii="仿宋_GB2312" w:hAnsi="宋体" w:eastAsia="仿宋_GB2312" w:cs="宋体"/>
          <w:color w:val="000000"/>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105" w:leftChars="50" w:firstLine="480" w:firstLineChars="150"/>
        <w:textAlignment w:val="auto"/>
        <w:rPr>
          <w:rFonts w:ascii="楷体_GB2312" w:eastAsia="楷体_GB2312"/>
          <w:sz w:val="32"/>
          <w:szCs w:val="32"/>
        </w:rPr>
      </w:pPr>
      <w:r>
        <w:rPr>
          <w:rFonts w:hint="eastAsia" w:ascii="楷体_GB2312" w:eastAsia="楷体_GB2312"/>
          <w:sz w:val="32"/>
          <w:szCs w:val="32"/>
        </w:rPr>
        <w:t>（五）部门</w:t>
      </w:r>
      <w:r>
        <w:rPr>
          <w:rFonts w:ascii="楷体_GB2312" w:eastAsia="楷体_GB2312"/>
          <w:sz w:val="32"/>
          <w:szCs w:val="32"/>
        </w:rPr>
        <w:t>预决算差异率</w:t>
      </w:r>
    </w:p>
    <w:p>
      <w:pPr>
        <w:keepNext w:val="0"/>
        <w:keepLines w:val="0"/>
        <w:pageBreakBefore w:val="0"/>
        <w:widowControl w:val="0"/>
        <w:kinsoku/>
        <w:wordWrap/>
        <w:overflowPunct/>
        <w:topLinePunct w:val="0"/>
        <w:autoSpaceDE/>
        <w:autoSpaceDN/>
        <w:bidi w:val="0"/>
        <w:adjustRightInd/>
        <w:snapToGrid/>
        <w:spacing w:line="560" w:lineRule="exact"/>
        <w:ind w:left="105" w:leftChars="50" w:firstLine="480" w:firstLineChars="150"/>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我单位20</w:t>
      </w:r>
      <w:r>
        <w:rPr>
          <w:rFonts w:ascii="仿宋_GB2312" w:hAnsi="宋体" w:eastAsia="仿宋_GB2312" w:cs="宋体"/>
          <w:color w:val="000000"/>
          <w:kern w:val="0"/>
          <w:sz w:val="32"/>
          <w:szCs w:val="32"/>
        </w:rPr>
        <w:t>22</w:t>
      </w:r>
      <w:r>
        <w:rPr>
          <w:rFonts w:hint="eastAsia" w:ascii="仿宋_GB2312" w:hAnsi="宋体" w:eastAsia="仿宋_GB2312" w:cs="宋体"/>
          <w:color w:val="000000"/>
          <w:kern w:val="0"/>
          <w:sz w:val="32"/>
          <w:szCs w:val="32"/>
        </w:rPr>
        <w:t>年决算收入为</w:t>
      </w:r>
      <w:r>
        <w:rPr>
          <w:rFonts w:ascii="仿宋_GB2312" w:hAnsi="宋体" w:eastAsia="仿宋_GB2312" w:cs="宋体"/>
          <w:color w:val="000000"/>
          <w:kern w:val="0"/>
          <w:sz w:val="32"/>
          <w:szCs w:val="32"/>
        </w:rPr>
        <w:t>2108.50</w:t>
      </w:r>
      <w:r>
        <w:rPr>
          <w:rFonts w:hint="eastAsia" w:ascii="仿宋_GB2312" w:hAnsi="宋体" w:eastAsia="仿宋_GB2312" w:cs="宋体"/>
          <w:color w:val="000000"/>
          <w:kern w:val="0"/>
          <w:sz w:val="32"/>
          <w:szCs w:val="32"/>
        </w:rPr>
        <w:t>万元，年初预算收入为</w:t>
      </w:r>
      <w:bookmarkStart w:id="0" w:name="_Hlk104881187"/>
      <w:r>
        <w:rPr>
          <w:rFonts w:ascii="仿宋_GB2312" w:hAnsi="宋体" w:eastAsia="仿宋_GB2312" w:cs="宋体"/>
          <w:color w:val="000000"/>
          <w:kern w:val="0"/>
          <w:sz w:val="32"/>
          <w:szCs w:val="32"/>
        </w:rPr>
        <w:t>19</w:t>
      </w:r>
      <w:bookmarkEnd w:id="0"/>
      <w:r>
        <w:rPr>
          <w:rFonts w:ascii="仿宋_GB2312" w:hAnsi="宋体" w:eastAsia="仿宋_GB2312" w:cs="宋体"/>
          <w:color w:val="000000"/>
          <w:kern w:val="0"/>
          <w:sz w:val="32"/>
          <w:szCs w:val="32"/>
        </w:rPr>
        <w:t>80.97</w:t>
      </w:r>
      <w:r>
        <w:rPr>
          <w:rFonts w:hint="eastAsia" w:ascii="仿宋_GB2312" w:hAnsi="宋体" w:eastAsia="仿宋_GB2312" w:cs="宋体"/>
          <w:color w:val="000000"/>
          <w:kern w:val="0"/>
          <w:sz w:val="32"/>
          <w:szCs w:val="32"/>
        </w:rPr>
        <w:t>万元；决算支出为</w:t>
      </w:r>
      <w:r>
        <w:rPr>
          <w:rFonts w:ascii="仿宋_GB2312" w:hAnsi="宋体" w:eastAsia="仿宋_GB2312" w:cs="宋体"/>
          <w:color w:val="000000"/>
          <w:kern w:val="0"/>
          <w:sz w:val="32"/>
          <w:szCs w:val="32"/>
        </w:rPr>
        <w:t>2073.25</w:t>
      </w:r>
      <w:r>
        <w:rPr>
          <w:rFonts w:hint="eastAsia" w:ascii="仿宋_GB2312" w:hAnsi="宋体" w:eastAsia="仿宋_GB2312" w:cs="宋体"/>
          <w:color w:val="000000"/>
          <w:kern w:val="0"/>
          <w:sz w:val="32"/>
          <w:szCs w:val="32"/>
        </w:rPr>
        <w:t>万元，年初预算支出为</w:t>
      </w:r>
      <w:r>
        <w:rPr>
          <w:rFonts w:ascii="仿宋_GB2312" w:hAnsi="宋体" w:eastAsia="仿宋_GB2312" w:cs="宋体"/>
          <w:color w:val="000000"/>
          <w:kern w:val="0"/>
          <w:sz w:val="32"/>
          <w:szCs w:val="32"/>
        </w:rPr>
        <w:t>1980.97</w:t>
      </w:r>
      <w:r>
        <w:rPr>
          <w:rFonts w:hint="eastAsia" w:ascii="仿宋_GB2312" w:hAnsi="宋体" w:eastAsia="仿宋_GB2312" w:cs="宋体"/>
          <w:color w:val="000000"/>
          <w:kern w:val="0"/>
          <w:sz w:val="32"/>
          <w:szCs w:val="32"/>
        </w:rPr>
        <w:t>万元。</w:t>
      </w:r>
    </w:p>
    <w:p>
      <w:pPr>
        <w:keepNext w:val="0"/>
        <w:keepLines w:val="0"/>
        <w:pageBreakBefore w:val="0"/>
        <w:widowControl w:val="0"/>
        <w:kinsoku/>
        <w:wordWrap/>
        <w:overflowPunct/>
        <w:topLinePunct w:val="0"/>
        <w:autoSpaceDE/>
        <w:autoSpaceDN/>
        <w:bidi w:val="0"/>
        <w:adjustRightInd/>
        <w:snapToGrid/>
        <w:spacing w:line="560" w:lineRule="exact"/>
        <w:ind w:left="105" w:leftChars="50" w:firstLine="480" w:firstLineChars="150"/>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部门预算收入差异率＝(部门决算收入数－部门预算收入数)/部门预算收入数×100%=（</w:t>
      </w:r>
      <w:r>
        <w:rPr>
          <w:rFonts w:ascii="仿宋_GB2312" w:hAnsi="宋体" w:eastAsia="仿宋_GB2312" w:cs="宋体"/>
          <w:color w:val="000000"/>
          <w:kern w:val="0"/>
          <w:sz w:val="32"/>
          <w:szCs w:val="32"/>
        </w:rPr>
        <w:t>2108.50</w:t>
      </w:r>
      <w:r>
        <w:rPr>
          <w:rFonts w:hint="eastAsia" w:ascii="仿宋_GB2312" w:hAnsi="宋体" w:eastAsia="仿宋_GB2312" w:cs="宋体"/>
          <w:color w:val="000000"/>
          <w:kern w:val="0"/>
          <w:sz w:val="32"/>
          <w:szCs w:val="32"/>
        </w:rPr>
        <w:t>-</w:t>
      </w:r>
      <w:r>
        <w:rPr>
          <w:rFonts w:ascii="仿宋_GB2312" w:hAnsi="宋体" w:eastAsia="仿宋_GB2312" w:cs="宋体"/>
          <w:color w:val="000000"/>
          <w:kern w:val="0"/>
          <w:sz w:val="32"/>
          <w:szCs w:val="32"/>
        </w:rPr>
        <w:t>1980.97</w:t>
      </w:r>
      <w:r>
        <w:rPr>
          <w:rFonts w:hint="eastAsia" w:ascii="仿宋_GB2312" w:hAnsi="宋体" w:eastAsia="仿宋_GB2312" w:cs="宋体"/>
          <w:color w:val="000000"/>
          <w:kern w:val="0"/>
          <w:sz w:val="32"/>
          <w:szCs w:val="32"/>
        </w:rPr>
        <w:t>）/</w:t>
      </w:r>
      <w:r>
        <w:rPr>
          <w:rFonts w:ascii="仿宋_GB2312" w:hAnsi="宋体" w:eastAsia="仿宋_GB2312" w:cs="宋体"/>
          <w:color w:val="000000"/>
          <w:kern w:val="0"/>
          <w:sz w:val="32"/>
          <w:szCs w:val="32"/>
        </w:rPr>
        <w:t>1980.97</w:t>
      </w:r>
      <w:r>
        <w:rPr>
          <w:rFonts w:hint="eastAsia" w:ascii="仿宋_GB2312" w:hAnsi="宋体" w:eastAsia="仿宋_GB2312" w:cs="宋体"/>
          <w:color w:val="000000"/>
          <w:kern w:val="0"/>
          <w:sz w:val="32"/>
          <w:szCs w:val="32"/>
        </w:rPr>
        <w:t>=</w:t>
      </w:r>
      <w:r>
        <w:rPr>
          <w:rFonts w:ascii="仿宋_GB2312" w:hAnsi="宋体" w:eastAsia="仿宋_GB2312" w:cs="宋体"/>
          <w:color w:val="000000"/>
          <w:kern w:val="0"/>
          <w:sz w:val="32"/>
          <w:szCs w:val="32"/>
        </w:rPr>
        <w:t>6.44</w:t>
      </w:r>
      <w:r>
        <w:rPr>
          <w:rFonts w:hint="eastAsia" w:ascii="仿宋_GB2312" w:hAnsi="宋体" w:eastAsia="仿宋_GB2312" w:cs="宋体"/>
          <w:color w:val="000000"/>
          <w:kern w:val="0"/>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left="105" w:leftChars="50" w:firstLine="480" w:firstLineChars="150"/>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部门预算支出差异率＝(部门决算支出数－部门预算支出数)/部门预算支出数×100%=（</w:t>
      </w:r>
      <w:r>
        <w:rPr>
          <w:rFonts w:ascii="仿宋_GB2312" w:hAnsi="宋体" w:eastAsia="仿宋_GB2312" w:cs="宋体"/>
          <w:color w:val="000000"/>
          <w:kern w:val="0"/>
          <w:sz w:val="32"/>
          <w:szCs w:val="32"/>
        </w:rPr>
        <w:t>2073.25</w:t>
      </w:r>
      <w:r>
        <w:rPr>
          <w:rFonts w:hint="eastAsia" w:ascii="仿宋_GB2312" w:hAnsi="宋体" w:eastAsia="仿宋_GB2312" w:cs="宋体"/>
          <w:color w:val="000000"/>
          <w:kern w:val="0"/>
          <w:sz w:val="32"/>
          <w:szCs w:val="32"/>
        </w:rPr>
        <w:t>-</w:t>
      </w:r>
      <w:r>
        <w:rPr>
          <w:rFonts w:ascii="仿宋_GB2312" w:hAnsi="宋体" w:eastAsia="仿宋_GB2312" w:cs="宋体"/>
          <w:color w:val="000000"/>
          <w:kern w:val="0"/>
          <w:sz w:val="32"/>
          <w:szCs w:val="32"/>
        </w:rPr>
        <w:t>1980.97</w:t>
      </w:r>
      <w:r>
        <w:rPr>
          <w:rFonts w:hint="eastAsia" w:ascii="仿宋_GB2312" w:hAnsi="宋体" w:eastAsia="仿宋_GB2312" w:cs="宋体"/>
          <w:color w:val="000000"/>
          <w:kern w:val="0"/>
          <w:sz w:val="32"/>
          <w:szCs w:val="32"/>
        </w:rPr>
        <w:t>）/</w:t>
      </w:r>
      <w:r>
        <w:rPr>
          <w:rFonts w:ascii="仿宋_GB2312" w:hAnsi="宋体" w:eastAsia="仿宋_GB2312" w:cs="宋体"/>
          <w:color w:val="000000"/>
          <w:kern w:val="0"/>
          <w:sz w:val="32"/>
          <w:szCs w:val="32"/>
        </w:rPr>
        <w:t>1980.97</w:t>
      </w:r>
      <w:r>
        <w:rPr>
          <w:rFonts w:hint="eastAsia" w:ascii="仿宋_GB2312" w:hAnsi="宋体" w:eastAsia="仿宋_GB2312" w:cs="宋体"/>
          <w:color w:val="000000"/>
          <w:kern w:val="0"/>
          <w:sz w:val="32"/>
          <w:szCs w:val="32"/>
        </w:rPr>
        <w:t>=</w:t>
      </w:r>
      <w:r>
        <w:rPr>
          <w:rFonts w:ascii="仿宋_GB2312" w:hAnsi="宋体" w:eastAsia="仿宋_GB2312" w:cs="宋体"/>
          <w:color w:val="000000"/>
          <w:kern w:val="0"/>
          <w:sz w:val="32"/>
          <w:szCs w:val="32"/>
        </w:rPr>
        <w:t>4.66</w:t>
      </w:r>
      <w:r>
        <w:rPr>
          <w:rFonts w:hint="eastAsia" w:ascii="仿宋_GB2312" w:hAnsi="宋体" w:eastAsia="仿宋_GB2312" w:cs="宋体"/>
          <w:color w:val="000000"/>
          <w:kern w:val="0"/>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105" w:leftChars="50" w:firstLine="480" w:firstLineChars="150"/>
        <w:textAlignment w:val="auto"/>
        <w:rPr>
          <w:rFonts w:ascii="黑体" w:hAnsi="黑体" w:eastAsia="黑体"/>
          <w:sz w:val="32"/>
          <w:szCs w:val="32"/>
        </w:rPr>
      </w:pPr>
      <w:r>
        <w:rPr>
          <w:rFonts w:hint="eastAsia" w:ascii="黑体" w:hAnsi="黑体" w:eastAsia="黑体"/>
          <w:sz w:val="32"/>
          <w:szCs w:val="32"/>
        </w:rPr>
        <w:t>五、总体</w:t>
      </w:r>
      <w:r>
        <w:rPr>
          <w:rFonts w:ascii="黑体" w:hAnsi="黑体" w:eastAsia="黑体"/>
          <w:sz w:val="32"/>
          <w:szCs w:val="32"/>
        </w:rPr>
        <w:t>评价结论</w:t>
      </w:r>
    </w:p>
    <w:p>
      <w:pPr>
        <w:keepNext w:val="0"/>
        <w:keepLines w:val="0"/>
        <w:pageBreakBefore w:val="0"/>
        <w:widowControl w:val="0"/>
        <w:kinsoku/>
        <w:wordWrap/>
        <w:overflowPunct/>
        <w:topLinePunct w:val="0"/>
        <w:autoSpaceDE/>
        <w:autoSpaceDN/>
        <w:bidi w:val="0"/>
        <w:adjustRightInd/>
        <w:snapToGrid/>
        <w:spacing w:line="560" w:lineRule="exact"/>
        <w:ind w:left="105" w:leftChars="50" w:firstLine="480" w:firstLineChars="150"/>
        <w:textAlignment w:val="auto"/>
        <w:rPr>
          <w:rFonts w:ascii="楷体_GB2312" w:eastAsia="楷体_GB2312"/>
          <w:sz w:val="32"/>
          <w:szCs w:val="32"/>
        </w:rPr>
      </w:pPr>
      <w:r>
        <w:rPr>
          <w:rFonts w:hint="eastAsia" w:ascii="楷体_GB2312" w:eastAsia="楷体_GB2312"/>
          <w:sz w:val="32"/>
          <w:szCs w:val="32"/>
        </w:rPr>
        <w:t>（一）评价</w:t>
      </w:r>
      <w:r>
        <w:rPr>
          <w:rFonts w:ascii="楷体_GB2312" w:eastAsia="楷体_GB2312"/>
          <w:sz w:val="32"/>
          <w:szCs w:val="32"/>
        </w:rPr>
        <w:t>得分</w:t>
      </w:r>
      <w:r>
        <w:rPr>
          <w:rFonts w:hint="eastAsia" w:ascii="楷体_GB2312" w:eastAsia="楷体_GB2312"/>
          <w:sz w:val="32"/>
          <w:szCs w:val="32"/>
        </w:rPr>
        <w:t>情况</w:t>
      </w:r>
    </w:p>
    <w:p>
      <w:pPr>
        <w:keepNext w:val="0"/>
        <w:keepLines w:val="0"/>
        <w:pageBreakBefore w:val="0"/>
        <w:widowControl w:val="0"/>
        <w:kinsoku/>
        <w:wordWrap/>
        <w:overflowPunct/>
        <w:topLinePunct w:val="0"/>
        <w:autoSpaceDE/>
        <w:autoSpaceDN/>
        <w:bidi w:val="0"/>
        <w:adjustRightInd/>
        <w:snapToGrid/>
        <w:spacing w:line="560" w:lineRule="exact"/>
        <w:ind w:left="105" w:leftChars="50" w:firstLine="480" w:firstLineChars="150"/>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根据评价指标体系测算，本单位部门整体支出绩效评价得分是：当年预算执行情况绩效为</w:t>
      </w:r>
      <w:r>
        <w:rPr>
          <w:rFonts w:ascii="仿宋_GB2312" w:hAnsi="宋体" w:eastAsia="仿宋_GB2312" w:cs="宋体"/>
          <w:color w:val="000000"/>
          <w:kern w:val="0"/>
          <w:sz w:val="32"/>
          <w:szCs w:val="32"/>
        </w:rPr>
        <w:t>19.6</w:t>
      </w:r>
      <w:r>
        <w:rPr>
          <w:rFonts w:hint="eastAsia" w:ascii="仿宋_GB2312" w:hAnsi="宋体" w:eastAsia="仿宋_GB2312" w:cs="宋体"/>
          <w:color w:val="000000"/>
          <w:kern w:val="0"/>
          <w:sz w:val="32"/>
          <w:szCs w:val="32"/>
        </w:rPr>
        <w:t>分，整体绩效目标实现情况绩效为</w:t>
      </w:r>
      <w:r>
        <w:rPr>
          <w:rFonts w:ascii="仿宋_GB2312" w:hAnsi="宋体" w:eastAsia="仿宋_GB2312" w:cs="宋体"/>
          <w:color w:val="000000"/>
          <w:kern w:val="0"/>
          <w:sz w:val="32"/>
          <w:szCs w:val="32"/>
        </w:rPr>
        <w:t>54</w:t>
      </w:r>
      <w:r>
        <w:rPr>
          <w:rFonts w:hint="eastAsia" w:ascii="仿宋_GB2312" w:hAnsi="宋体" w:eastAsia="仿宋_GB2312" w:cs="宋体"/>
          <w:color w:val="000000"/>
          <w:kern w:val="0"/>
          <w:sz w:val="32"/>
          <w:szCs w:val="32"/>
        </w:rPr>
        <w:t>分，预算管理情况绩效为2</w:t>
      </w:r>
      <w:r>
        <w:rPr>
          <w:rFonts w:ascii="仿宋_GB2312" w:hAnsi="宋体" w:eastAsia="仿宋_GB2312" w:cs="宋体"/>
          <w:color w:val="000000"/>
          <w:kern w:val="0"/>
          <w:sz w:val="32"/>
          <w:szCs w:val="32"/>
        </w:rPr>
        <w:t>0</w:t>
      </w:r>
      <w:r>
        <w:rPr>
          <w:rFonts w:hint="eastAsia" w:ascii="仿宋_GB2312" w:hAnsi="宋体" w:eastAsia="仿宋_GB2312" w:cs="宋体"/>
          <w:color w:val="000000"/>
          <w:kern w:val="0"/>
          <w:sz w:val="32"/>
          <w:szCs w:val="32"/>
        </w:rPr>
        <w:t>分，总绩效为</w:t>
      </w:r>
      <w:r>
        <w:rPr>
          <w:rFonts w:ascii="仿宋_GB2312" w:hAnsi="宋体" w:eastAsia="仿宋_GB2312" w:cs="宋体"/>
          <w:color w:val="000000"/>
          <w:kern w:val="0"/>
          <w:sz w:val="32"/>
          <w:szCs w:val="32"/>
        </w:rPr>
        <w:t>93.6</w:t>
      </w:r>
      <w:r>
        <w:rPr>
          <w:rFonts w:hint="eastAsia" w:ascii="仿宋_GB2312" w:hAnsi="宋体" w:eastAsia="仿宋_GB2312" w:cs="宋体"/>
          <w:color w:val="000000"/>
          <w:kern w:val="0"/>
          <w:sz w:val="32"/>
          <w:szCs w:val="32"/>
        </w:rPr>
        <w:t>分。</w:t>
      </w:r>
    </w:p>
    <w:p>
      <w:pPr>
        <w:keepNext w:val="0"/>
        <w:keepLines w:val="0"/>
        <w:pageBreakBefore w:val="0"/>
        <w:widowControl w:val="0"/>
        <w:kinsoku/>
        <w:wordWrap/>
        <w:overflowPunct/>
        <w:topLinePunct w:val="0"/>
        <w:autoSpaceDE/>
        <w:autoSpaceDN/>
        <w:bidi w:val="0"/>
        <w:adjustRightInd/>
        <w:snapToGrid/>
        <w:spacing w:line="560" w:lineRule="exact"/>
        <w:ind w:left="105" w:leftChars="50" w:firstLine="480" w:firstLineChars="150"/>
        <w:textAlignment w:val="auto"/>
        <w:rPr>
          <w:rFonts w:ascii="楷体_GB2312" w:eastAsia="楷体_GB2312"/>
          <w:sz w:val="32"/>
          <w:szCs w:val="32"/>
        </w:rPr>
      </w:pPr>
      <w:r>
        <w:rPr>
          <w:rFonts w:hint="eastAsia" w:ascii="楷体_GB2312" w:eastAsia="楷体_GB2312"/>
          <w:sz w:val="32"/>
          <w:szCs w:val="32"/>
        </w:rPr>
        <w:t>（二）存在的问题</w:t>
      </w:r>
    </w:p>
    <w:p>
      <w:pPr>
        <w:keepNext w:val="0"/>
        <w:keepLines w:val="0"/>
        <w:pageBreakBefore w:val="0"/>
        <w:widowControl w:val="0"/>
        <w:kinsoku/>
        <w:wordWrap/>
        <w:overflowPunct/>
        <w:topLinePunct w:val="0"/>
        <w:autoSpaceDE/>
        <w:autoSpaceDN/>
        <w:bidi w:val="0"/>
        <w:adjustRightInd/>
        <w:snapToGrid/>
        <w:spacing w:line="560" w:lineRule="exact"/>
        <w:ind w:left="105" w:leftChars="50" w:firstLine="480" w:firstLineChars="150"/>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部门总体绩效目标申报表填报不够科学，量化程度不够。后续的可考量性不足。</w:t>
      </w:r>
    </w:p>
    <w:p>
      <w:pPr>
        <w:keepNext w:val="0"/>
        <w:keepLines w:val="0"/>
        <w:pageBreakBefore w:val="0"/>
        <w:widowControl w:val="0"/>
        <w:kinsoku/>
        <w:wordWrap/>
        <w:overflowPunct/>
        <w:topLinePunct w:val="0"/>
        <w:autoSpaceDE/>
        <w:autoSpaceDN/>
        <w:bidi w:val="0"/>
        <w:adjustRightInd/>
        <w:snapToGrid/>
        <w:spacing w:line="560" w:lineRule="exact"/>
        <w:ind w:left="105" w:leftChars="50" w:firstLine="480" w:firstLineChars="150"/>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绩效目标和指标往往根据项目实际完成情况制定。对项目执行过程有效约束不够，存在一定的偏差。</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ascii="仿宋_GB2312" w:hAnsi="宋体" w:eastAsia="仿宋_GB2312" w:cs="宋体"/>
          <w:b/>
          <w:bCs/>
          <w:color w:val="000000"/>
          <w:kern w:val="0"/>
          <w:sz w:val="32"/>
          <w:szCs w:val="32"/>
        </w:rPr>
      </w:pPr>
      <w:r>
        <w:rPr>
          <w:rFonts w:hint="eastAsia" w:ascii="黑体" w:hAnsi="黑体" w:eastAsia="黑体" w:cs="宋体"/>
          <w:b/>
          <w:bCs/>
          <w:color w:val="000000"/>
          <w:kern w:val="0"/>
          <w:sz w:val="32"/>
          <w:szCs w:val="32"/>
        </w:rPr>
        <w:t>六、措施建议</w:t>
      </w:r>
    </w:p>
    <w:p>
      <w:pPr>
        <w:keepNext w:val="0"/>
        <w:keepLines w:val="0"/>
        <w:pageBreakBefore w:val="0"/>
        <w:widowControl w:val="0"/>
        <w:kinsoku/>
        <w:wordWrap/>
        <w:overflowPunct/>
        <w:topLinePunct w:val="0"/>
        <w:autoSpaceDE/>
        <w:autoSpaceDN/>
        <w:bidi w:val="0"/>
        <w:adjustRightInd/>
        <w:snapToGrid/>
        <w:spacing w:line="560" w:lineRule="exact"/>
        <w:ind w:left="105" w:leftChars="50" w:firstLine="480" w:firstLineChars="150"/>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应科学、合理、规范地确定部门绩效目标，以部门的职能定位和年度工作任务作为切入点，全面反映部门绩效，并将各相关职能（或工作）内容反映在分项指标中，将要进行的工作按照数量、质量、进度分别确定，提升各项指标的可考量性和完整性。</w:t>
      </w:r>
    </w:p>
    <w:p>
      <w:pPr>
        <w:keepNext w:val="0"/>
        <w:keepLines w:val="0"/>
        <w:pageBreakBefore w:val="0"/>
        <w:widowControl w:val="0"/>
        <w:kinsoku/>
        <w:wordWrap/>
        <w:overflowPunct/>
        <w:topLinePunct w:val="0"/>
        <w:autoSpaceDE/>
        <w:autoSpaceDN/>
        <w:bidi w:val="0"/>
        <w:adjustRightInd/>
        <w:snapToGrid/>
        <w:spacing w:line="560" w:lineRule="exact"/>
        <w:ind w:left="105" w:leftChars="50" w:firstLine="480" w:firstLineChars="150"/>
        <w:textAlignment w:val="auto"/>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提高绩效管理水平。首先，建立健全部门绩效管理制度，包括建立绩效管理组织机构及人员分工、绩效指标设置、绩效跟踪、绩效自评、绩效资料收集整理分析等制度，切实提高资金使用效益，强化预算绩效意识，提高绩效的管控力；其次，重视项目绩效资料的收集，对于受益群体较明显的项目应及时开展对服务对象的满意度调查，提升项目的社会效益。</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sz w:val="32"/>
          <w:szCs w:val="32"/>
        </w:rPr>
      </w:pPr>
      <w:bookmarkStart w:id="1" w:name="_Toc103006301"/>
      <w:r>
        <w:rPr>
          <w:rFonts w:hint="eastAsia"/>
          <w:sz w:val="32"/>
          <w:szCs w:val="32"/>
        </w:rPr>
        <w:t>七、附件</w:t>
      </w:r>
      <w:bookmarkEnd w:id="1"/>
    </w:p>
    <w:p>
      <w:pPr>
        <w:keepNext w:val="0"/>
        <w:keepLines w:val="0"/>
        <w:pageBreakBefore w:val="0"/>
        <w:widowControl w:val="0"/>
        <w:kinsoku/>
        <w:wordWrap/>
        <w:overflowPunct/>
        <w:topLinePunct w:val="0"/>
        <w:autoSpaceDE/>
        <w:autoSpaceDN/>
        <w:bidi w:val="0"/>
        <w:adjustRightInd/>
        <w:snapToGrid/>
        <w:spacing w:line="560" w:lineRule="exact"/>
        <w:ind w:firstLine="641"/>
        <w:textAlignment w:val="auto"/>
        <w:rPr>
          <w:rFonts w:ascii="仿宋_GB2312" w:hAnsi="仿宋_GB2312" w:eastAsia="仿宋_GB2312" w:cs="仿宋_GB2312"/>
          <w:sz w:val="32"/>
          <w:szCs w:val="32"/>
        </w:rPr>
        <w:sectPr>
          <w:footerReference r:id="rId3" w:type="default"/>
          <w:pgSz w:w="11906" w:h="16838"/>
          <w:pgMar w:top="1440" w:right="1800" w:bottom="1440" w:left="1800" w:header="851" w:footer="964" w:gutter="0"/>
          <w:pgNumType w:start="1"/>
          <w:cols w:space="425" w:num="1"/>
          <w:docGrid w:type="lines" w:linePitch="435" w:charSpace="0"/>
        </w:sectPr>
      </w:pPr>
      <w:r>
        <w:rPr>
          <w:rFonts w:hint="eastAsia" w:ascii="仿宋_GB2312" w:hAnsi="仿宋_GB2312" w:eastAsia="仿宋_GB2312" w:cs="仿宋_GB2312"/>
          <w:sz w:val="32"/>
          <w:szCs w:val="32"/>
        </w:rPr>
        <w:t>2022年部门整体绩效评价指标体系评分表</w:t>
      </w:r>
    </w:p>
    <w:bookmarkEnd w:id="2"/>
    <w:p>
      <w:pPr>
        <w:spacing w:line="560" w:lineRule="exact"/>
        <w:jc w:val="left"/>
        <w:rPr>
          <w:rFonts w:hint="eastAsia" w:ascii="方正黑体_GBK" w:hAnsi="方正黑体_GBK" w:eastAsia="方正黑体_GBK" w:cs="方正黑体_GBK"/>
          <w:sz w:val="32"/>
          <w:lang w:eastAsia="zh-CN"/>
        </w:rPr>
      </w:pPr>
      <w:r>
        <w:rPr>
          <w:rFonts w:hint="eastAsia" w:ascii="方正黑体_GBK" w:hAnsi="方正黑体_GBK" w:eastAsia="方正黑体_GBK" w:cs="方正黑体_GBK"/>
          <w:sz w:val="32"/>
          <w:lang w:eastAsia="zh-CN"/>
        </w:rPr>
        <w:t>附件</w:t>
      </w:r>
    </w:p>
    <w:tbl>
      <w:tblPr>
        <w:tblStyle w:val="5"/>
        <w:tblW w:w="5035" w:type="pct"/>
        <w:tblInd w:w="0" w:type="dxa"/>
        <w:tblLayout w:type="fixed"/>
        <w:tblCellMar>
          <w:top w:w="0" w:type="dxa"/>
          <w:left w:w="108" w:type="dxa"/>
          <w:bottom w:w="0" w:type="dxa"/>
          <w:right w:w="108" w:type="dxa"/>
        </w:tblCellMar>
      </w:tblPr>
      <w:tblGrid>
        <w:gridCol w:w="1196"/>
        <w:gridCol w:w="1206"/>
        <w:gridCol w:w="1137"/>
        <w:gridCol w:w="1251"/>
        <w:gridCol w:w="861"/>
        <w:gridCol w:w="675"/>
        <w:gridCol w:w="685"/>
        <w:gridCol w:w="3627"/>
        <w:gridCol w:w="3635"/>
      </w:tblGrid>
      <w:tr>
        <w:tblPrEx>
          <w:tblCellMar>
            <w:top w:w="0" w:type="dxa"/>
            <w:left w:w="108" w:type="dxa"/>
            <w:bottom w:w="0" w:type="dxa"/>
            <w:right w:w="108" w:type="dxa"/>
          </w:tblCellMar>
        </w:tblPrEx>
        <w:trPr>
          <w:cantSplit/>
          <w:trHeight w:val="90" w:hRule="atLeast"/>
        </w:trPr>
        <w:tc>
          <w:tcPr>
            <w:tcW w:w="5000" w:type="pct"/>
            <w:gridSpan w:val="9"/>
            <w:tcBorders>
              <w:top w:val="nil"/>
              <w:left w:val="nil"/>
              <w:bottom w:val="single" w:color="auto" w:sz="4" w:space="0"/>
              <w:right w:val="nil"/>
            </w:tcBorders>
            <w:noWrap/>
            <w:vAlign w:val="bottom"/>
          </w:tcPr>
          <w:p>
            <w:pPr>
              <w:widowControl/>
              <w:jc w:val="center"/>
              <w:rPr>
                <w:rFonts w:ascii="方正小标宋简体" w:hAnsi="黑体" w:eastAsia="方正小标宋简体" w:cs="宋体"/>
                <w:color w:val="000000"/>
                <w:kern w:val="0"/>
                <w:sz w:val="44"/>
                <w:szCs w:val="44"/>
                <w:highlight w:val="yellow"/>
              </w:rPr>
            </w:pPr>
            <w:r>
              <w:rPr>
                <w:rFonts w:hint="eastAsia" w:ascii="方正小标宋简体" w:hAnsi="黑体" w:eastAsia="方正小标宋简体" w:cs="宋体"/>
                <w:color w:val="000000"/>
                <w:kern w:val="0"/>
                <w:sz w:val="44"/>
                <w:szCs w:val="44"/>
              </w:rPr>
              <w:t>2022年部门整体绩效评价指标体系评分表</w:t>
            </w:r>
          </w:p>
        </w:tc>
      </w:tr>
      <w:tr>
        <w:tblPrEx>
          <w:tblCellMar>
            <w:top w:w="0" w:type="dxa"/>
            <w:left w:w="108" w:type="dxa"/>
            <w:bottom w:w="0" w:type="dxa"/>
            <w:right w:w="108" w:type="dxa"/>
          </w:tblCellMar>
        </w:tblPrEx>
        <w:trPr>
          <w:cantSplit/>
          <w:trHeight w:val="470" w:hRule="atLeast"/>
        </w:trPr>
        <w:tc>
          <w:tcPr>
            <w:tcW w:w="5000" w:type="pct"/>
            <w:gridSpan w:val="9"/>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一、</w:t>
            </w:r>
            <w:r>
              <w:rPr>
                <w:rFonts w:hint="eastAsia" w:ascii="宋体" w:hAnsi="宋体" w:cs="宋体"/>
                <w:color w:val="000000"/>
                <w:kern w:val="0"/>
                <w:sz w:val="20"/>
                <w:szCs w:val="20"/>
              </w:rPr>
              <w:t>当年预算执行情况（20分）</w:t>
            </w:r>
          </w:p>
        </w:tc>
      </w:tr>
      <w:tr>
        <w:tblPrEx>
          <w:tblCellMar>
            <w:top w:w="0" w:type="dxa"/>
            <w:left w:w="108" w:type="dxa"/>
            <w:bottom w:w="0" w:type="dxa"/>
            <w:right w:w="108" w:type="dxa"/>
          </w:tblCellMar>
        </w:tblPrEx>
        <w:trPr>
          <w:cantSplit/>
          <w:trHeight w:val="660" w:hRule="atLeast"/>
        </w:trPr>
        <w:tc>
          <w:tcPr>
            <w:tcW w:w="418"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一</w:t>
            </w:r>
            <w:r>
              <w:rPr>
                <w:rFonts w:ascii="宋体" w:hAnsi="宋体" w:cs="宋体"/>
                <w:color w:val="000000"/>
                <w:kern w:val="0"/>
                <w:sz w:val="20"/>
                <w:szCs w:val="20"/>
              </w:rPr>
              <w:t>级指标</w:t>
            </w:r>
            <w:r>
              <w:rPr>
                <w:rFonts w:hint="eastAsia" w:ascii="宋体" w:hAnsi="宋体" w:cs="宋体"/>
                <w:color w:val="000000"/>
                <w:kern w:val="0"/>
                <w:sz w:val="20"/>
                <w:szCs w:val="20"/>
              </w:rPr>
              <w:t>　</w:t>
            </w:r>
          </w:p>
        </w:tc>
        <w:tc>
          <w:tcPr>
            <w:tcW w:w="42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二</w:t>
            </w:r>
            <w:r>
              <w:rPr>
                <w:rFonts w:ascii="宋体" w:hAnsi="宋体" w:cs="宋体"/>
                <w:color w:val="000000"/>
                <w:kern w:val="0"/>
                <w:sz w:val="20"/>
                <w:szCs w:val="20"/>
              </w:rPr>
              <w:t>级指标</w:t>
            </w:r>
            <w:r>
              <w:rPr>
                <w:rFonts w:hint="eastAsia" w:ascii="宋体" w:hAnsi="宋体" w:cs="宋体"/>
                <w:color w:val="000000"/>
                <w:kern w:val="0"/>
                <w:sz w:val="20"/>
                <w:szCs w:val="20"/>
              </w:rPr>
              <w:t>　</w:t>
            </w:r>
          </w:p>
        </w:tc>
        <w:tc>
          <w:tcPr>
            <w:tcW w:w="398"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预算数（万元）</w:t>
            </w:r>
          </w:p>
        </w:tc>
        <w:tc>
          <w:tcPr>
            <w:tcW w:w="437"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执行数（万元）</w:t>
            </w:r>
          </w:p>
        </w:tc>
        <w:tc>
          <w:tcPr>
            <w:tcW w:w="30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预算执行率</w:t>
            </w:r>
          </w:p>
        </w:tc>
        <w:tc>
          <w:tcPr>
            <w:tcW w:w="236"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分值</w:t>
            </w:r>
          </w:p>
        </w:tc>
        <w:tc>
          <w:tcPr>
            <w:tcW w:w="239"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得分</w:t>
            </w:r>
          </w:p>
        </w:tc>
        <w:tc>
          <w:tcPr>
            <w:tcW w:w="127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指标解释</w:t>
            </w:r>
          </w:p>
        </w:tc>
        <w:tc>
          <w:tcPr>
            <w:tcW w:w="1273"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评分标准</w:t>
            </w:r>
          </w:p>
        </w:tc>
      </w:tr>
      <w:tr>
        <w:tblPrEx>
          <w:tblCellMar>
            <w:top w:w="0" w:type="dxa"/>
            <w:left w:w="108" w:type="dxa"/>
            <w:bottom w:w="0" w:type="dxa"/>
            <w:right w:w="108" w:type="dxa"/>
          </w:tblCellMar>
        </w:tblPrEx>
        <w:trPr>
          <w:cantSplit/>
          <w:trHeight w:val="630" w:hRule="atLeast"/>
        </w:trPr>
        <w:tc>
          <w:tcPr>
            <w:tcW w:w="418" w:type="pct"/>
            <w:vMerge w:val="restart"/>
            <w:tcBorders>
              <w:top w:val="nil"/>
              <w:left w:val="single" w:color="auto" w:sz="4" w:space="0"/>
              <w:bottom w:val="single" w:color="000000"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当年预算执行情况（20）</w:t>
            </w:r>
          </w:p>
        </w:tc>
        <w:tc>
          <w:tcPr>
            <w:tcW w:w="42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资金总体</w:t>
            </w:r>
          </w:p>
        </w:tc>
        <w:tc>
          <w:tcPr>
            <w:tcW w:w="398"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r>
              <w:rPr>
                <w:rFonts w:ascii="宋体" w:hAnsi="宋体" w:cs="宋体"/>
                <w:color w:val="000000"/>
                <w:kern w:val="0"/>
                <w:sz w:val="20"/>
                <w:szCs w:val="20"/>
              </w:rPr>
              <w:t>108.50</w:t>
            </w:r>
            <w:r>
              <w:rPr>
                <w:rFonts w:hint="eastAsia" w:ascii="宋体" w:hAnsi="宋体" w:cs="宋体"/>
                <w:color w:val="000000"/>
                <w:kern w:val="0"/>
                <w:sz w:val="20"/>
                <w:szCs w:val="20"/>
              </w:rPr>
              <w:t>　</w:t>
            </w:r>
          </w:p>
        </w:tc>
        <w:tc>
          <w:tcPr>
            <w:tcW w:w="437" w:type="pct"/>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2</w:t>
            </w:r>
            <w:r>
              <w:rPr>
                <w:rFonts w:ascii="宋体" w:hAnsi="宋体" w:cs="宋体"/>
                <w:color w:val="000000"/>
                <w:kern w:val="0"/>
                <w:sz w:val="20"/>
                <w:szCs w:val="20"/>
              </w:rPr>
              <w:t>,073.25</w:t>
            </w:r>
          </w:p>
        </w:tc>
        <w:tc>
          <w:tcPr>
            <w:tcW w:w="30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w:t>
            </w:r>
            <w:r>
              <w:rPr>
                <w:rFonts w:ascii="宋体" w:hAnsi="宋体" w:cs="宋体"/>
                <w:color w:val="000000"/>
                <w:kern w:val="0"/>
                <w:sz w:val="20"/>
                <w:szCs w:val="20"/>
              </w:rPr>
              <w:t>8.75%</w:t>
            </w:r>
            <w:r>
              <w:rPr>
                <w:rFonts w:hint="eastAsia" w:ascii="宋体" w:hAnsi="宋体" w:cs="宋体"/>
                <w:color w:val="000000"/>
                <w:kern w:val="0"/>
                <w:sz w:val="20"/>
                <w:szCs w:val="20"/>
              </w:rPr>
              <w:t>　</w:t>
            </w:r>
          </w:p>
        </w:tc>
        <w:tc>
          <w:tcPr>
            <w:tcW w:w="236" w:type="pct"/>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w:t>
            </w:r>
          </w:p>
        </w:tc>
        <w:tc>
          <w:tcPr>
            <w:tcW w:w="239" w:type="pct"/>
            <w:vMerge w:val="restart"/>
            <w:tcBorders>
              <w:top w:val="single" w:color="auto" w:sz="4" w:space="0"/>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r>
              <w:rPr>
                <w:rFonts w:ascii="宋体" w:hAnsi="宋体" w:cs="宋体"/>
                <w:color w:val="000000"/>
                <w:kern w:val="0"/>
                <w:sz w:val="20"/>
                <w:szCs w:val="20"/>
              </w:rPr>
              <w:t>9.6</w:t>
            </w:r>
            <w:r>
              <w:rPr>
                <w:rFonts w:hint="eastAsia" w:ascii="宋体" w:hAnsi="宋体" w:cs="宋体"/>
                <w:color w:val="000000"/>
                <w:kern w:val="0"/>
                <w:sz w:val="20"/>
                <w:szCs w:val="20"/>
              </w:rPr>
              <w:t>　</w:t>
            </w:r>
          </w:p>
        </w:tc>
        <w:tc>
          <w:tcPr>
            <w:tcW w:w="1271" w:type="pct"/>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部门全年执行数与全年预算数的比率。资金总体=基本支出+项目支出+其他</w:t>
            </w:r>
          </w:p>
        </w:tc>
        <w:tc>
          <w:tcPr>
            <w:tcW w:w="1273" w:type="pct"/>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①得分一档最高不能超过该指标分值上限（20分）。</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②该指标若为正向指标，则得分计算方法应用全年实际值（B）/年度指标值（A）*该指标分值；若定量指标为反向指标，则得分计算方法应用年度指标值（A）/全年实际值（B）*该指标分值。若年初指标值设定偏低，则得分计算方法应用（全年实际值（B）—年度指标值（A））/年度指标值（A）*100%。若计算结果在200%-300%（含200%）区间，则按照该指标分值的10%扣分；计算结果在300%-500%（含300%）区间，则按照该指标分值的20%扣分；计算结果高于500%（含500%），则按照该指标分值的30%扣分。</w:t>
            </w:r>
          </w:p>
        </w:tc>
      </w:tr>
      <w:tr>
        <w:tblPrEx>
          <w:tblCellMar>
            <w:top w:w="0" w:type="dxa"/>
            <w:left w:w="108" w:type="dxa"/>
            <w:bottom w:w="0" w:type="dxa"/>
            <w:right w:w="108" w:type="dxa"/>
          </w:tblCellMar>
        </w:tblPrEx>
        <w:trPr>
          <w:cantSplit/>
          <w:trHeight w:val="600" w:hRule="atLeast"/>
        </w:trPr>
        <w:tc>
          <w:tcPr>
            <w:tcW w:w="418"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422" w:type="pct"/>
            <w:tcBorders>
              <w:top w:val="single" w:color="auto" w:sz="4" w:space="0"/>
              <w:left w:val="single" w:color="auto" w:sz="4" w:space="0"/>
              <w:bottom w:val="single" w:color="auto" w:sz="4" w:space="0"/>
              <w:right w:val="nil"/>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基本支出</w:t>
            </w:r>
          </w:p>
        </w:tc>
        <w:tc>
          <w:tcPr>
            <w:tcW w:w="398"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1,443.79</w:t>
            </w:r>
            <w:r>
              <w:rPr>
                <w:rFonts w:hint="eastAsia" w:ascii="宋体" w:hAnsi="宋体" w:cs="宋体"/>
                <w:color w:val="000000"/>
                <w:kern w:val="0"/>
                <w:sz w:val="20"/>
                <w:szCs w:val="20"/>
              </w:rPr>
              <w:t>　</w:t>
            </w:r>
          </w:p>
        </w:tc>
        <w:tc>
          <w:tcPr>
            <w:tcW w:w="437"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r>
              <w:rPr>
                <w:rFonts w:ascii="宋体" w:hAnsi="宋体" w:cs="宋体"/>
                <w:color w:val="000000"/>
                <w:kern w:val="0"/>
                <w:sz w:val="20"/>
                <w:szCs w:val="20"/>
              </w:rPr>
              <w:t>,437.34</w:t>
            </w:r>
          </w:p>
        </w:tc>
        <w:tc>
          <w:tcPr>
            <w:tcW w:w="301"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23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239" w:type="pct"/>
            <w:vMerge w:val="continue"/>
            <w:tcBorders>
              <w:top w:val="single" w:color="auto" w:sz="4" w:space="0"/>
              <w:left w:val="nil"/>
              <w:bottom w:val="single" w:color="auto" w:sz="4" w:space="0"/>
              <w:right w:val="nil"/>
            </w:tcBorders>
            <w:vAlign w:val="center"/>
          </w:tcPr>
          <w:p>
            <w:pPr>
              <w:widowControl/>
              <w:jc w:val="left"/>
              <w:rPr>
                <w:rFonts w:ascii="宋体" w:hAnsi="宋体" w:cs="宋体"/>
                <w:color w:val="000000"/>
                <w:kern w:val="0"/>
                <w:sz w:val="20"/>
                <w:szCs w:val="20"/>
              </w:rPr>
            </w:pPr>
          </w:p>
        </w:tc>
        <w:tc>
          <w:tcPr>
            <w:tcW w:w="127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27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cantSplit/>
          <w:trHeight w:val="615" w:hRule="atLeast"/>
        </w:trPr>
        <w:tc>
          <w:tcPr>
            <w:tcW w:w="418"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422" w:type="pct"/>
            <w:tcBorders>
              <w:top w:val="single" w:color="auto" w:sz="4" w:space="0"/>
              <w:left w:val="single" w:color="auto" w:sz="4" w:space="0"/>
              <w:bottom w:val="single" w:color="auto" w:sz="4" w:space="0"/>
              <w:right w:val="nil"/>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项目支出</w:t>
            </w:r>
          </w:p>
        </w:tc>
        <w:tc>
          <w:tcPr>
            <w:tcW w:w="398"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6</w:t>
            </w:r>
            <w:r>
              <w:rPr>
                <w:rFonts w:ascii="宋体" w:hAnsi="宋体" w:cs="宋体"/>
                <w:color w:val="000000"/>
                <w:kern w:val="0"/>
                <w:sz w:val="20"/>
                <w:szCs w:val="20"/>
              </w:rPr>
              <w:t>64.71</w:t>
            </w:r>
          </w:p>
        </w:tc>
        <w:tc>
          <w:tcPr>
            <w:tcW w:w="437"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r>
              <w:rPr>
                <w:rFonts w:ascii="宋体" w:hAnsi="宋体" w:cs="宋体"/>
                <w:color w:val="000000"/>
                <w:kern w:val="0"/>
                <w:sz w:val="20"/>
                <w:szCs w:val="20"/>
              </w:rPr>
              <w:t>35.91</w:t>
            </w:r>
            <w:r>
              <w:rPr>
                <w:rFonts w:hint="eastAsia" w:ascii="宋体" w:hAnsi="宋体" w:cs="宋体"/>
                <w:color w:val="000000"/>
                <w:kern w:val="0"/>
                <w:sz w:val="20"/>
                <w:szCs w:val="20"/>
              </w:rPr>
              <w:t>　</w:t>
            </w:r>
          </w:p>
        </w:tc>
        <w:tc>
          <w:tcPr>
            <w:tcW w:w="30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23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239" w:type="pct"/>
            <w:vMerge w:val="continue"/>
            <w:tcBorders>
              <w:top w:val="single" w:color="auto" w:sz="4" w:space="0"/>
              <w:left w:val="nil"/>
              <w:bottom w:val="single" w:color="auto" w:sz="4" w:space="0"/>
              <w:right w:val="nil"/>
            </w:tcBorders>
            <w:vAlign w:val="center"/>
          </w:tcPr>
          <w:p>
            <w:pPr>
              <w:widowControl/>
              <w:jc w:val="left"/>
              <w:rPr>
                <w:rFonts w:ascii="宋体" w:hAnsi="宋体" w:cs="宋体"/>
                <w:color w:val="000000"/>
                <w:kern w:val="0"/>
                <w:sz w:val="20"/>
                <w:szCs w:val="20"/>
              </w:rPr>
            </w:pPr>
          </w:p>
        </w:tc>
        <w:tc>
          <w:tcPr>
            <w:tcW w:w="127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27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cantSplit/>
          <w:trHeight w:val="3321" w:hRule="atLeast"/>
        </w:trPr>
        <w:tc>
          <w:tcPr>
            <w:tcW w:w="418"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42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其他</w:t>
            </w:r>
          </w:p>
        </w:tc>
        <w:tc>
          <w:tcPr>
            <w:tcW w:w="398"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437"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30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236"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239" w:type="pct"/>
            <w:vMerge w:val="continue"/>
            <w:tcBorders>
              <w:top w:val="single" w:color="auto" w:sz="4" w:space="0"/>
              <w:left w:val="nil"/>
              <w:bottom w:val="single" w:color="auto" w:sz="4" w:space="0"/>
              <w:right w:val="nil"/>
            </w:tcBorders>
            <w:vAlign w:val="center"/>
          </w:tcPr>
          <w:p>
            <w:pPr>
              <w:widowControl/>
              <w:jc w:val="left"/>
              <w:rPr>
                <w:rFonts w:ascii="宋体" w:hAnsi="宋体" w:cs="宋体"/>
                <w:color w:val="000000"/>
                <w:kern w:val="0"/>
                <w:sz w:val="20"/>
                <w:szCs w:val="20"/>
              </w:rPr>
            </w:pPr>
          </w:p>
        </w:tc>
        <w:tc>
          <w:tcPr>
            <w:tcW w:w="1271"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27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cantSplit/>
          <w:trHeight w:val="479" w:hRule="atLeast"/>
        </w:trPr>
        <w:tc>
          <w:tcPr>
            <w:tcW w:w="5000" w:type="pct"/>
            <w:gridSpan w:val="9"/>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二</w:t>
            </w:r>
            <w:r>
              <w:rPr>
                <w:rFonts w:ascii="宋体" w:hAnsi="宋体" w:cs="宋体"/>
                <w:color w:val="000000"/>
                <w:kern w:val="0"/>
                <w:sz w:val="18"/>
                <w:szCs w:val="18"/>
              </w:rPr>
              <w:t>、</w:t>
            </w:r>
            <w:r>
              <w:rPr>
                <w:rFonts w:hint="eastAsia" w:ascii="宋体" w:hAnsi="宋体" w:cs="宋体"/>
                <w:color w:val="000000"/>
                <w:kern w:val="0"/>
                <w:sz w:val="20"/>
                <w:szCs w:val="20"/>
              </w:rPr>
              <w:t>整体绩效目标实现情况（60分）</w:t>
            </w:r>
          </w:p>
        </w:tc>
      </w:tr>
      <w:tr>
        <w:tblPrEx>
          <w:tblCellMar>
            <w:top w:w="0" w:type="dxa"/>
            <w:left w:w="108" w:type="dxa"/>
            <w:bottom w:w="0" w:type="dxa"/>
            <w:right w:w="108" w:type="dxa"/>
          </w:tblCellMar>
        </w:tblPrEx>
        <w:trPr>
          <w:cantSplit/>
          <w:trHeight w:val="499" w:hRule="atLeast"/>
        </w:trPr>
        <w:tc>
          <w:tcPr>
            <w:tcW w:w="418"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一</w:t>
            </w:r>
            <w:r>
              <w:rPr>
                <w:rFonts w:ascii="宋体" w:hAnsi="宋体" w:cs="宋体"/>
                <w:color w:val="000000"/>
                <w:kern w:val="0"/>
                <w:sz w:val="20"/>
                <w:szCs w:val="20"/>
              </w:rPr>
              <w:t>级指标</w:t>
            </w:r>
          </w:p>
        </w:tc>
        <w:tc>
          <w:tcPr>
            <w:tcW w:w="422"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二</w:t>
            </w:r>
            <w:r>
              <w:rPr>
                <w:rFonts w:ascii="宋体" w:hAnsi="宋体" w:cs="宋体"/>
                <w:color w:val="000000"/>
                <w:kern w:val="0"/>
                <w:sz w:val="20"/>
                <w:szCs w:val="20"/>
              </w:rPr>
              <w:t>级指标</w:t>
            </w:r>
            <w:r>
              <w:rPr>
                <w:rFonts w:hint="eastAsia" w:ascii="宋体" w:hAnsi="宋体" w:cs="宋体"/>
                <w:color w:val="000000"/>
                <w:kern w:val="0"/>
                <w:sz w:val="20"/>
                <w:szCs w:val="20"/>
              </w:rPr>
              <w:t>　</w:t>
            </w:r>
          </w:p>
        </w:tc>
        <w:tc>
          <w:tcPr>
            <w:tcW w:w="398"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三</w:t>
            </w:r>
            <w:r>
              <w:rPr>
                <w:rFonts w:ascii="宋体" w:hAnsi="宋体" w:cs="宋体"/>
                <w:color w:val="000000"/>
                <w:kern w:val="0"/>
                <w:sz w:val="20"/>
                <w:szCs w:val="20"/>
              </w:rPr>
              <w:t>级指标</w:t>
            </w:r>
            <w:r>
              <w:rPr>
                <w:rFonts w:hint="eastAsia" w:ascii="宋体" w:hAnsi="宋体" w:cs="宋体"/>
                <w:color w:val="000000"/>
                <w:kern w:val="0"/>
                <w:sz w:val="20"/>
                <w:szCs w:val="20"/>
              </w:rPr>
              <w:t>　</w:t>
            </w:r>
          </w:p>
        </w:tc>
        <w:tc>
          <w:tcPr>
            <w:tcW w:w="437"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指标值</w:t>
            </w:r>
          </w:p>
        </w:tc>
        <w:tc>
          <w:tcPr>
            <w:tcW w:w="301"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完成值</w:t>
            </w:r>
          </w:p>
        </w:tc>
        <w:tc>
          <w:tcPr>
            <w:tcW w:w="236"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分值</w:t>
            </w:r>
          </w:p>
        </w:tc>
        <w:tc>
          <w:tcPr>
            <w:tcW w:w="239" w:type="pct"/>
            <w:tcBorders>
              <w:top w:val="single" w:color="auto" w:sz="4" w:space="0"/>
              <w:left w:val="nil"/>
              <w:bottom w:val="single" w:color="auto" w:sz="4" w:space="0"/>
              <w:right w:val="nil"/>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得分</w:t>
            </w:r>
          </w:p>
        </w:tc>
        <w:tc>
          <w:tcPr>
            <w:tcW w:w="127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color w:val="000000"/>
                <w:kern w:val="0"/>
                <w:sz w:val="18"/>
                <w:szCs w:val="18"/>
              </w:rPr>
            </w:pPr>
            <w:r>
              <w:rPr>
                <w:rFonts w:hint="eastAsia" w:ascii="宋体" w:hAnsi="宋体" w:cs="宋体"/>
                <w:bCs/>
                <w:color w:val="000000"/>
                <w:kern w:val="0"/>
                <w:sz w:val="18"/>
                <w:szCs w:val="18"/>
              </w:rPr>
              <w:t>指标</w:t>
            </w:r>
            <w:r>
              <w:rPr>
                <w:rFonts w:ascii="宋体" w:hAnsi="宋体" w:cs="宋体"/>
                <w:bCs/>
                <w:color w:val="000000"/>
                <w:kern w:val="0"/>
                <w:sz w:val="18"/>
                <w:szCs w:val="18"/>
              </w:rPr>
              <w:t>解释</w:t>
            </w:r>
          </w:p>
        </w:tc>
        <w:tc>
          <w:tcPr>
            <w:tcW w:w="1273"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w:t>
            </w:r>
            <w:r>
              <w:rPr>
                <w:rFonts w:ascii="宋体" w:hAnsi="宋体" w:cs="宋体"/>
                <w:color w:val="000000"/>
                <w:kern w:val="0"/>
                <w:sz w:val="18"/>
                <w:szCs w:val="18"/>
              </w:rPr>
              <w:t>分标准</w:t>
            </w:r>
          </w:p>
        </w:tc>
      </w:tr>
      <w:tr>
        <w:tblPrEx>
          <w:tblCellMar>
            <w:top w:w="0" w:type="dxa"/>
            <w:left w:w="108" w:type="dxa"/>
            <w:bottom w:w="0" w:type="dxa"/>
            <w:right w:w="108" w:type="dxa"/>
          </w:tblCellMar>
        </w:tblPrEx>
        <w:trPr>
          <w:cantSplit/>
          <w:trHeight w:val="1196" w:hRule="atLeast"/>
        </w:trPr>
        <w:tc>
          <w:tcPr>
            <w:tcW w:w="418"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整体绩效目标实现情况（60）</w:t>
            </w:r>
          </w:p>
        </w:tc>
        <w:tc>
          <w:tcPr>
            <w:tcW w:w="422" w:type="pct"/>
            <w:vMerge w:val="restart"/>
            <w:tcBorders>
              <w:top w:val="single" w:color="auto" w:sz="4" w:space="0"/>
              <w:left w:val="nil"/>
              <w:right w:val="single" w:color="auto" w:sz="4" w:space="0"/>
            </w:tcBorders>
            <w:vAlign w:val="center"/>
          </w:tcPr>
          <w:p>
            <w:pPr>
              <w:widowControl/>
              <w:jc w:val="center"/>
              <w:rPr>
                <w:rFonts w:ascii="宋体" w:hAnsi="宋体" w:cs="宋体"/>
                <w:color w:val="000000"/>
                <w:kern w:val="0"/>
                <w:sz w:val="20"/>
                <w:szCs w:val="20"/>
              </w:rPr>
            </w:pPr>
          </w:p>
          <w:p>
            <w:pPr>
              <w:jc w:val="center"/>
              <w:rPr>
                <w:rFonts w:ascii="宋体" w:hAnsi="宋体" w:cs="宋体"/>
                <w:color w:val="000000"/>
                <w:kern w:val="0"/>
                <w:sz w:val="20"/>
                <w:szCs w:val="20"/>
              </w:rPr>
            </w:pPr>
            <w:r>
              <w:rPr>
                <w:rFonts w:hint="eastAsia" w:ascii="宋体" w:hAnsi="宋体" w:cs="宋体"/>
                <w:color w:val="000000"/>
                <w:kern w:val="0"/>
                <w:sz w:val="20"/>
                <w:szCs w:val="20"/>
              </w:rPr>
              <w:t>产出（30）</w:t>
            </w:r>
          </w:p>
        </w:tc>
        <w:tc>
          <w:tcPr>
            <w:tcW w:w="398"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p>
          <w:p>
            <w:pPr>
              <w:jc w:val="center"/>
              <w:rPr>
                <w:rFonts w:ascii="宋体" w:hAnsi="宋体" w:cs="宋体"/>
                <w:color w:val="000000"/>
                <w:kern w:val="0"/>
                <w:sz w:val="20"/>
                <w:szCs w:val="20"/>
              </w:rPr>
            </w:pPr>
            <w:r>
              <w:rPr>
                <w:rFonts w:hint="eastAsia" w:ascii="宋体" w:hAnsi="宋体" w:cs="宋体"/>
                <w:color w:val="000000"/>
                <w:kern w:val="0"/>
                <w:sz w:val="20"/>
                <w:szCs w:val="20"/>
              </w:rPr>
              <w:t>指标1</w:t>
            </w:r>
          </w:p>
        </w:tc>
        <w:tc>
          <w:tcPr>
            <w:tcW w:w="437"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p>
          <w:p>
            <w:pPr>
              <w:jc w:val="center"/>
              <w:rPr>
                <w:rFonts w:ascii="宋体" w:hAnsi="宋体" w:cs="宋体"/>
                <w:color w:val="000000"/>
                <w:kern w:val="0"/>
                <w:sz w:val="20"/>
                <w:szCs w:val="20"/>
              </w:rPr>
            </w:pPr>
            <w:r>
              <w:rPr>
                <w:rFonts w:hint="eastAsia" w:ascii="宋体" w:hAnsi="宋体" w:cs="宋体"/>
                <w:color w:val="000000"/>
                <w:kern w:val="0"/>
                <w:sz w:val="20"/>
                <w:szCs w:val="20"/>
              </w:rPr>
              <w:t>任务完成数量（2</w:t>
            </w:r>
            <w:r>
              <w:rPr>
                <w:rFonts w:ascii="宋体" w:hAnsi="宋体" w:cs="宋体"/>
                <w:color w:val="000000"/>
                <w:kern w:val="0"/>
                <w:sz w:val="20"/>
                <w:szCs w:val="20"/>
              </w:rPr>
              <w:t>2</w:t>
            </w:r>
            <w:r>
              <w:rPr>
                <w:rFonts w:hint="eastAsia" w:ascii="宋体" w:hAnsi="宋体" w:cs="宋体"/>
                <w:color w:val="000000"/>
                <w:kern w:val="0"/>
                <w:sz w:val="20"/>
                <w:szCs w:val="20"/>
              </w:rPr>
              <w:t>）　</w:t>
            </w:r>
          </w:p>
        </w:tc>
        <w:tc>
          <w:tcPr>
            <w:tcW w:w="301"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p>
          <w:p>
            <w:pPr>
              <w:jc w:val="center"/>
              <w:rPr>
                <w:rFonts w:ascii="宋体" w:hAnsi="宋体" w:cs="宋体"/>
                <w:color w:val="000000"/>
                <w:kern w:val="0"/>
                <w:sz w:val="20"/>
                <w:szCs w:val="20"/>
              </w:rPr>
            </w:pPr>
            <w:r>
              <w:rPr>
                <w:rFonts w:hint="eastAsia" w:ascii="宋体" w:hAnsi="宋体" w:cs="宋体"/>
                <w:color w:val="000000"/>
                <w:kern w:val="0"/>
                <w:sz w:val="20"/>
                <w:szCs w:val="20"/>
              </w:rPr>
              <w:t>2</w:t>
            </w:r>
            <w:r>
              <w:rPr>
                <w:rFonts w:ascii="宋体" w:hAnsi="宋体" w:cs="宋体"/>
                <w:color w:val="000000"/>
                <w:kern w:val="0"/>
                <w:sz w:val="20"/>
                <w:szCs w:val="20"/>
              </w:rPr>
              <w:t>1</w:t>
            </w:r>
          </w:p>
        </w:tc>
        <w:tc>
          <w:tcPr>
            <w:tcW w:w="236" w:type="pct"/>
            <w:vMerge w:val="restar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p>
          <w:p>
            <w:pPr>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239" w:type="pct"/>
            <w:tcBorders>
              <w:top w:val="single" w:color="auto" w:sz="4" w:space="0"/>
              <w:left w:val="nil"/>
              <w:bottom w:val="single" w:color="auto" w:sz="4" w:space="0"/>
              <w:right w:val="nil"/>
            </w:tcBorders>
            <w:vAlign w:val="center"/>
          </w:tcPr>
          <w:p>
            <w:pPr>
              <w:widowControl/>
              <w:jc w:val="center"/>
              <w:rPr>
                <w:rFonts w:ascii="宋体" w:hAnsi="宋体" w:cs="宋体"/>
                <w:color w:val="000000"/>
                <w:kern w:val="0"/>
                <w:sz w:val="20"/>
                <w:szCs w:val="20"/>
              </w:rPr>
            </w:pPr>
          </w:p>
          <w:p>
            <w:pPr>
              <w:jc w:val="center"/>
              <w:rPr>
                <w:rFonts w:ascii="宋体" w:hAnsi="宋体" w:cs="宋体"/>
                <w:color w:val="000000"/>
                <w:kern w:val="0"/>
                <w:sz w:val="20"/>
                <w:szCs w:val="20"/>
              </w:rPr>
            </w:pPr>
            <w:r>
              <w:rPr>
                <w:rFonts w:ascii="宋体" w:hAnsi="宋体" w:cs="宋体"/>
                <w:color w:val="000000"/>
                <w:kern w:val="0"/>
                <w:sz w:val="20"/>
                <w:szCs w:val="20"/>
              </w:rPr>
              <w:t>6</w:t>
            </w:r>
            <w:r>
              <w:rPr>
                <w:rFonts w:hint="eastAsia" w:ascii="宋体" w:hAnsi="宋体" w:cs="宋体"/>
                <w:color w:val="000000"/>
                <w:kern w:val="0"/>
                <w:sz w:val="20"/>
                <w:szCs w:val="20"/>
              </w:rPr>
              <w:t>　</w:t>
            </w:r>
          </w:p>
        </w:tc>
        <w:tc>
          <w:tcPr>
            <w:tcW w:w="1271" w:type="pct"/>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b/>
                <w:bCs/>
                <w:color w:val="000000"/>
                <w:kern w:val="0"/>
                <w:sz w:val="18"/>
                <w:szCs w:val="18"/>
              </w:rPr>
              <w:t>产出数量</w:t>
            </w:r>
            <w:r>
              <w:rPr>
                <w:rFonts w:hint="eastAsia" w:ascii="宋体" w:hAnsi="宋体" w:cs="宋体"/>
                <w:color w:val="000000"/>
                <w:kern w:val="0"/>
                <w:sz w:val="18"/>
                <w:szCs w:val="18"/>
              </w:rPr>
              <w:t>：计划完成率=（实际完成工作数/计划工作数）×100%。实际完成工作数：一定时期（年度或规划期）内部门（单位）实际完成工作任务的数量。计划工作数：部门（单位）整体绩效目标确定的一定时期（年度或规划期）内预计完成工作任务的数量。</w:t>
            </w:r>
            <w:r>
              <w:rPr>
                <w:rFonts w:hint="eastAsia" w:ascii="宋体" w:hAnsi="宋体" w:cs="宋体"/>
                <w:b/>
                <w:bCs/>
                <w:color w:val="000000"/>
                <w:kern w:val="0"/>
                <w:sz w:val="18"/>
                <w:szCs w:val="18"/>
              </w:rPr>
              <w:t>产出质量</w:t>
            </w:r>
            <w:r>
              <w:rPr>
                <w:rFonts w:hint="eastAsia" w:ascii="宋体" w:hAnsi="宋体" w:cs="宋体"/>
                <w:color w:val="000000"/>
                <w:kern w:val="0"/>
                <w:sz w:val="18"/>
                <w:szCs w:val="18"/>
              </w:rPr>
              <w:t>：质量达标率=质量达标工作数/实际完成工作数×100%。质量达标工作数：一定时期（年度或规划期）内部门（单位）实际完成工作数中达到部门绩效目标要求（绩效标准值）的工作任务数量。</w:t>
            </w:r>
            <w:r>
              <w:rPr>
                <w:rFonts w:hint="eastAsia" w:ascii="宋体" w:hAnsi="宋体" w:cs="宋体"/>
                <w:b/>
                <w:bCs/>
                <w:color w:val="000000"/>
                <w:kern w:val="0"/>
                <w:sz w:val="18"/>
                <w:szCs w:val="18"/>
              </w:rPr>
              <w:t>产出进度：</w:t>
            </w:r>
            <w:r>
              <w:rPr>
                <w:rFonts w:hint="eastAsia" w:ascii="宋体" w:hAnsi="宋体" w:cs="宋体"/>
                <w:color w:val="000000"/>
                <w:kern w:val="0"/>
                <w:sz w:val="18"/>
                <w:szCs w:val="18"/>
              </w:rPr>
              <w:t>按时完成率=（按时完成工作数/实际完成工作数）×100%。按时完成工作数：部门（单位）按照整体绩效目标确定的时限实际完成的工作任务数量。</w:t>
            </w:r>
            <w:r>
              <w:rPr>
                <w:rFonts w:hint="eastAsia" w:ascii="宋体" w:hAnsi="宋体" w:cs="宋体"/>
                <w:b/>
                <w:bCs/>
                <w:color w:val="000000"/>
                <w:kern w:val="0"/>
                <w:sz w:val="18"/>
                <w:szCs w:val="18"/>
              </w:rPr>
              <w:t>产出成本</w:t>
            </w:r>
            <w:r>
              <w:rPr>
                <w:rFonts w:hint="eastAsia" w:ascii="宋体" w:hAnsi="宋体" w:cs="宋体"/>
                <w:color w:val="000000"/>
                <w:kern w:val="0"/>
                <w:sz w:val="18"/>
                <w:szCs w:val="18"/>
              </w:rPr>
              <w:t>：单位产出相对于上一年度的节约额；②单位产出相对于市场同类产出的节约额；③部门公用经费的控制情况。</w:t>
            </w:r>
          </w:p>
        </w:tc>
        <w:tc>
          <w:tcPr>
            <w:tcW w:w="1273" w:type="pct"/>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部门根据本单位情况自行确定并选择产出指标，合理确定各项指标权重。可量化的指标按照比率*单项指标分值即为该指标得分。如果不能定量评价，则以定性的方式进行自评。</w:t>
            </w:r>
          </w:p>
        </w:tc>
      </w:tr>
      <w:tr>
        <w:tblPrEx>
          <w:tblCellMar>
            <w:top w:w="0" w:type="dxa"/>
            <w:left w:w="108" w:type="dxa"/>
            <w:bottom w:w="0" w:type="dxa"/>
            <w:right w:w="108" w:type="dxa"/>
          </w:tblCellMar>
        </w:tblPrEx>
        <w:trPr>
          <w:cantSplit/>
          <w:trHeight w:val="1130" w:hRule="atLeast"/>
        </w:trPr>
        <w:tc>
          <w:tcPr>
            <w:tcW w:w="418"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422" w:type="pct"/>
            <w:vMerge w:val="continue"/>
            <w:tcBorders>
              <w:left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398"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指标2</w:t>
            </w:r>
          </w:p>
        </w:tc>
        <w:tc>
          <w:tcPr>
            <w:tcW w:w="437"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质量达标数量（2</w:t>
            </w:r>
            <w:r>
              <w:rPr>
                <w:rFonts w:ascii="宋体" w:hAnsi="宋体" w:cs="宋体"/>
                <w:color w:val="000000"/>
                <w:kern w:val="0"/>
                <w:sz w:val="20"/>
                <w:szCs w:val="20"/>
              </w:rPr>
              <w:t>2</w:t>
            </w:r>
            <w:r>
              <w:rPr>
                <w:rFonts w:hint="eastAsia" w:ascii="宋体" w:hAnsi="宋体" w:cs="宋体"/>
                <w:color w:val="000000"/>
                <w:kern w:val="0"/>
                <w:sz w:val="20"/>
                <w:szCs w:val="20"/>
              </w:rPr>
              <w:t>）　</w:t>
            </w:r>
          </w:p>
        </w:tc>
        <w:tc>
          <w:tcPr>
            <w:tcW w:w="301"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r>
              <w:rPr>
                <w:rFonts w:ascii="宋体" w:hAnsi="宋体" w:cs="宋体"/>
                <w:color w:val="000000"/>
                <w:kern w:val="0"/>
                <w:sz w:val="20"/>
                <w:szCs w:val="20"/>
              </w:rPr>
              <w:t>1</w:t>
            </w:r>
          </w:p>
        </w:tc>
        <w:tc>
          <w:tcPr>
            <w:tcW w:w="236" w:type="pct"/>
            <w:vMerge w:val="continue"/>
            <w:tcBorders>
              <w:top w:val="single" w:color="auto" w:sz="4" w:space="0"/>
              <w:left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239" w:type="pct"/>
            <w:tcBorders>
              <w:top w:val="single" w:color="auto" w:sz="4" w:space="0"/>
              <w:left w:val="nil"/>
              <w:bottom w:val="single" w:color="auto" w:sz="4" w:space="0"/>
              <w:right w:val="nil"/>
            </w:tcBorders>
            <w:noWrap/>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6</w:t>
            </w:r>
            <w:r>
              <w:rPr>
                <w:rFonts w:hint="eastAsia" w:ascii="宋体" w:hAnsi="宋体" w:cs="宋体"/>
                <w:color w:val="000000"/>
                <w:kern w:val="0"/>
                <w:sz w:val="20"/>
                <w:szCs w:val="20"/>
              </w:rPr>
              <w:t>　</w:t>
            </w:r>
          </w:p>
        </w:tc>
        <w:tc>
          <w:tcPr>
            <w:tcW w:w="1271"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27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cantSplit/>
          <w:trHeight w:val="1258" w:hRule="atLeast"/>
        </w:trPr>
        <w:tc>
          <w:tcPr>
            <w:tcW w:w="418"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422" w:type="pct"/>
            <w:vMerge w:val="continue"/>
            <w:tcBorders>
              <w:left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398" w:type="pct"/>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指标3</w:t>
            </w:r>
          </w:p>
        </w:tc>
        <w:tc>
          <w:tcPr>
            <w:tcW w:w="437" w:type="pct"/>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按时完成任务数量（2</w:t>
            </w:r>
            <w:r>
              <w:rPr>
                <w:rFonts w:ascii="宋体" w:hAnsi="宋体" w:cs="宋体"/>
                <w:color w:val="000000"/>
                <w:kern w:val="0"/>
                <w:sz w:val="20"/>
                <w:szCs w:val="20"/>
              </w:rPr>
              <w:t>2</w:t>
            </w:r>
            <w:r>
              <w:rPr>
                <w:rFonts w:hint="eastAsia" w:ascii="宋体" w:hAnsi="宋体" w:cs="宋体"/>
                <w:color w:val="000000"/>
                <w:kern w:val="0"/>
                <w:sz w:val="20"/>
                <w:szCs w:val="20"/>
              </w:rPr>
              <w:t>）　</w:t>
            </w:r>
          </w:p>
        </w:tc>
        <w:tc>
          <w:tcPr>
            <w:tcW w:w="301" w:type="pct"/>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r>
              <w:rPr>
                <w:rFonts w:ascii="宋体" w:hAnsi="宋体" w:cs="宋体"/>
                <w:color w:val="000000"/>
                <w:kern w:val="0"/>
                <w:sz w:val="20"/>
                <w:szCs w:val="20"/>
              </w:rPr>
              <w:t>1</w:t>
            </w:r>
          </w:p>
        </w:tc>
        <w:tc>
          <w:tcPr>
            <w:tcW w:w="236" w:type="pct"/>
            <w:vMerge w:val="continue"/>
            <w:tcBorders>
              <w:left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239" w:type="pct"/>
            <w:tcBorders>
              <w:top w:val="nil"/>
              <w:left w:val="nil"/>
              <w:bottom w:val="single" w:color="auto" w:sz="4" w:space="0"/>
              <w:right w:val="nil"/>
            </w:tcBorders>
            <w:noWrap/>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6</w:t>
            </w:r>
            <w:r>
              <w:rPr>
                <w:rFonts w:hint="eastAsia" w:ascii="宋体" w:hAnsi="宋体" w:cs="宋体"/>
                <w:color w:val="000000"/>
                <w:kern w:val="0"/>
                <w:sz w:val="20"/>
                <w:szCs w:val="20"/>
              </w:rPr>
              <w:t>　</w:t>
            </w:r>
          </w:p>
        </w:tc>
        <w:tc>
          <w:tcPr>
            <w:tcW w:w="1271"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27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cantSplit/>
          <w:trHeight w:val="975" w:hRule="atLeast"/>
        </w:trPr>
        <w:tc>
          <w:tcPr>
            <w:tcW w:w="418"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422" w:type="pct"/>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398" w:type="pct"/>
            <w:tcBorders>
              <w:top w:val="nil"/>
              <w:left w:val="nil"/>
              <w:bottom w:val="single" w:color="auto" w:sz="4" w:space="0"/>
              <w:right w:val="single" w:color="auto" w:sz="4" w:space="0"/>
            </w:tcBorders>
            <w:vAlign w:val="center"/>
          </w:tcPr>
          <w:p>
            <w:pPr>
              <w:widowControl/>
              <w:ind w:firstLine="200" w:firstLineChars="100"/>
              <w:rPr>
                <w:rFonts w:ascii="宋体" w:hAnsi="宋体" w:cs="宋体"/>
                <w:color w:val="000000"/>
                <w:kern w:val="0"/>
                <w:sz w:val="20"/>
                <w:szCs w:val="20"/>
              </w:rPr>
            </w:pPr>
            <w:r>
              <w:rPr>
                <w:rFonts w:hint="eastAsia" w:ascii="宋体" w:hAnsi="宋体" w:cs="宋体"/>
                <w:color w:val="000000"/>
                <w:kern w:val="0"/>
                <w:sz w:val="20"/>
                <w:szCs w:val="20"/>
              </w:rPr>
              <w:t>指标4</w:t>
            </w:r>
          </w:p>
        </w:tc>
        <w:tc>
          <w:tcPr>
            <w:tcW w:w="437" w:type="pct"/>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产出成本较去年降低　</w:t>
            </w:r>
          </w:p>
        </w:tc>
        <w:tc>
          <w:tcPr>
            <w:tcW w:w="301" w:type="pct"/>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较去年降低</w:t>
            </w:r>
          </w:p>
        </w:tc>
        <w:tc>
          <w:tcPr>
            <w:tcW w:w="236" w:type="pct"/>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p>
        </w:tc>
        <w:tc>
          <w:tcPr>
            <w:tcW w:w="239" w:type="pct"/>
            <w:tcBorders>
              <w:top w:val="nil"/>
              <w:left w:val="nil"/>
              <w:bottom w:val="single" w:color="auto" w:sz="4" w:space="0"/>
              <w:right w:val="nil"/>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6</w:t>
            </w:r>
          </w:p>
        </w:tc>
        <w:tc>
          <w:tcPr>
            <w:tcW w:w="1271"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27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cantSplit/>
          <w:trHeight w:val="675" w:hRule="atLeast"/>
        </w:trPr>
        <w:tc>
          <w:tcPr>
            <w:tcW w:w="418"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422" w:type="pct"/>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效果（30）</w:t>
            </w:r>
          </w:p>
        </w:tc>
        <w:tc>
          <w:tcPr>
            <w:tcW w:w="398" w:type="pct"/>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指标1</w:t>
            </w:r>
          </w:p>
        </w:tc>
        <w:tc>
          <w:tcPr>
            <w:tcW w:w="437" w:type="pct"/>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经济效益（强中差）　</w:t>
            </w:r>
          </w:p>
        </w:tc>
        <w:tc>
          <w:tcPr>
            <w:tcW w:w="301" w:type="pct"/>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强　</w:t>
            </w:r>
          </w:p>
        </w:tc>
        <w:tc>
          <w:tcPr>
            <w:tcW w:w="236" w:type="pct"/>
            <w:vMerge w:val="restart"/>
            <w:tcBorders>
              <w:top w:val="nil"/>
              <w:left w:val="single" w:color="auto" w:sz="4" w:space="0"/>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30</w:t>
            </w:r>
          </w:p>
        </w:tc>
        <w:tc>
          <w:tcPr>
            <w:tcW w:w="239" w:type="pct"/>
            <w:tcBorders>
              <w:top w:val="nil"/>
              <w:left w:val="nil"/>
              <w:bottom w:val="single" w:color="auto" w:sz="4" w:space="0"/>
              <w:right w:val="nil"/>
            </w:tcBorders>
            <w:noWrap/>
            <w:vAlign w:val="center"/>
          </w:tcPr>
          <w:p>
            <w:pPr>
              <w:widowControl/>
              <w:jc w:val="both"/>
              <w:rPr>
                <w:rFonts w:ascii="宋体" w:hAnsi="宋体" w:cs="宋体"/>
                <w:color w:val="000000"/>
                <w:kern w:val="0"/>
                <w:sz w:val="20"/>
                <w:szCs w:val="20"/>
              </w:rPr>
            </w:pPr>
            <w:r>
              <w:rPr>
                <w:rFonts w:hint="eastAsia" w:ascii="宋体" w:hAnsi="宋体" w:cs="宋体"/>
                <w:color w:val="000000"/>
                <w:kern w:val="0"/>
                <w:sz w:val="20"/>
                <w:szCs w:val="20"/>
              </w:rPr>
              <w:t>　6</w:t>
            </w:r>
          </w:p>
        </w:tc>
        <w:tc>
          <w:tcPr>
            <w:tcW w:w="1271" w:type="pct"/>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b/>
                <w:bCs/>
                <w:color w:val="000000"/>
                <w:kern w:val="0"/>
                <w:sz w:val="18"/>
                <w:szCs w:val="18"/>
              </w:rPr>
              <w:t>经济效益</w:t>
            </w:r>
            <w:r>
              <w:rPr>
                <w:rFonts w:hint="eastAsia" w:ascii="宋体" w:hAnsi="宋体" w:cs="宋体"/>
                <w:color w:val="000000"/>
                <w:kern w:val="0"/>
                <w:sz w:val="18"/>
                <w:szCs w:val="18"/>
              </w:rPr>
              <w:t>：部门（单位）履行职责对经济发展所带来的直接或间接影响。</w:t>
            </w:r>
            <w:r>
              <w:rPr>
                <w:rFonts w:hint="eastAsia" w:ascii="宋体" w:hAnsi="宋体" w:cs="宋体"/>
                <w:b/>
                <w:bCs/>
                <w:color w:val="000000"/>
                <w:kern w:val="0"/>
                <w:sz w:val="18"/>
                <w:szCs w:val="18"/>
              </w:rPr>
              <w:t>社会效益</w:t>
            </w:r>
            <w:r>
              <w:rPr>
                <w:rFonts w:hint="eastAsia" w:ascii="宋体" w:hAnsi="宋体" w:cs="宋体"/>
                <w:color w:val="000000"/>
                <w:kern w:val="0"/>
                <w:sz w:val="18"/>
                <w:szCs w:val="18"/>
              </w:rPr>
              <w:t>：部门（单位）履行职责对社会发展所带来的直接或间接影响。</w:t>
            </w:r>
            <w:r>
              <w:rPr>
                <w:rFonts w:hint="eastAsia" w:ascii="宋体" w:hAnsi="宋体" w:cs="宋体"/>
                <w:b/>
                <w:bCs/>
                <w:color w:val="000000"/>
                <w:kern w:val="0"/>
                <w:sz w:val="18"/>
                <w:szCs w:val="18"/>
              </w:rPr>
              <w:t>环境效益</w:t>
            </w:r>
            <w:r>
              <w:rPr>
                <w:rFonts w:hint="eastAsia" w:ascii="宋体" w:hAnsi="宋体" w:cs="宋体"/>
                <w:color w:val="000000"/>
                <w:kern w:val="0"/>
                <w:sz w:val="18"/>
                <w:szCs w:val="18"/>
              </w:rPr>
              <w:t>：部门（单位）履行职责对环境所带来的直接或间接影响。</w:t>
            </w:r>
            <w:r>
              <w:rPr>
                <w:rFonts w:hint="eastAsia" w:ascii="宋体" w:hAnsi="宋体" w:cs="宋体"/>
                <w:b/>
                <w:bCs/>
                <w:color w:val="000000"/>
                <w:kern w:val="0"/>
                <w:sz w:val="18"/>
                <w:szCs w:val="18"/>
              </w:rPr>
              <w:t>可持续性影响：</w:t>
            </w:r>
            <w:r>
              <w:rPr>
                <w:rFonts w:hint="eastAsia" w:ascii="宋体" w:hAnsi="宋体" w:cs="宋体"/>
                <w:color w:val="000000"/>
                <w:kern w:val="0"/>
                <w:sz w:val="18"/>
                <w:szCs w:val="18"/>
              </w:rPr>
              <w:t>部门绩效目标实现的长效机制建设情况，部门工作效率提升措施的创新。</w:t>
            </w:r>
            <w:r>
              <w:rPr>
                <w:rFonts w:hint="eastAsia" w:ascii="宋体" w:hAnsi="宋体" w:cs="宋体"/>
                <w:b/>
                <w:bCs/>
                <w:color w:val="000000"/>
                <w:kern w:val="0"/>
                <w:sz w:val="18"/>
                <w:szCs w:val="18"/>
              </w:rPr>
              <w:t>服务对象满意度</w:t>
            </w:r>
            <w:r>
              <w:rPr>
                <w:rFonts w:hint="eastAsia" w:ascii="宋体" w:hAnsi="宋体" w:cs="宋体"/>
                <w:color w:val="000000"/>
                <w:kern w:val="0"/>
                <w:sz w:val="18"/>
                <w:szCs w:val="18"/>
              </w:rPr>
              <w:t>：部门（单位）的服务对象对部门履职效果的满意程度。</w:t>
            </w:r>
          </w:p>
        </w:tc>
        <w:tc>
          <w:tcPr>
            <w:tcW w:w="1273" w:type="pct"/>
            <w:vMerge w:val="restar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部门根据实际情况选择指标进行填写，并将其细化为相应的个性化指标。对于效益类指标可从受益对象瞄准度、受益广度和受益深度上进行设计分析。</w:t>
            </w:r>
          </w:p>
        </w:tc>
      </w:tr>
      <w:tr>
        <w:tblPrEx>
          <w:tblCellMar>
            <w:top w:w="0" w:type="dxa"/>
            <w:left w:w="108" w:type="dxa"/>
            <w:bottom w:w="0" w:type="dxa"/>
            <w:right w:w="108" w:type="dxa"/>
          </w:tblCellMar>
        </w:tblPrEx>
        <w:trPr>
          <w:cantSplit/>
          <w:trHeight w:val="630" w:hRule="atLeast"/>
        </w:trPr>
        <w:tc>
          <w:tcPr>
            <w:tcW w:w="418"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422"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398" w:type="pct"/>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指标2</w:t>
            </w:r>
          </w:p>
        </w:tc>
        <w:tc>
          <w:tcPr>
            <w:tcW w:w="437" w:type="pct"/>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社会效益（强中差）　</w:t>
            </w:r>
          </w:p>
        </w:tc>
        <w:tc>
          <w:tcPr>
            <w:tcW w:w="301" w:type="pct"/>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强</w:t>
            </w:r>
          </w:p>
        </w:tc>
        <w:tc>
          <w:tcPr>
            <w:tcW w:w="236"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239" w:type="pct"/>
            <w:tcBorders>
              <w:top w:val="nil"/>
              <w:left w:val="nil"/>
              <w:bottom w:val="single" w:color="auto" w:sz="4" w:space="0"/>
              <w:right w:val="nil"/>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1271"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27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cantSplit/>
          <w:trHeight w:val="690" w:hRule="atLeast"/>
        </w:trPr>
        <w:tc>
          <w:tcPr>
            <w:tcW w:w="418"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422"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398" w:type="pct"/>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指标3</w:t>
            </w:r>
          </w:p>
        </w:tc>
        <w:tc>
          <w:tcPr>
            <w:tcW w:w="437" w:type="pct"/>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环境效益（强中差）　</w:t>
            </w:r>
          </w:p>
        </w:tc>
        <w:tc>
          <w:tcPr>
            <w:tcW w:w="301" w:type="pct"/>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强　</w:t>
            </w:r>
          </w:p>
        </w:tc>
        <w:tc>
          <w:tcPr>
            <w:tcW w:w="236"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239" w:type="pct"/>
            <w:tcBorders>
              <w:top w:val="nil"/>
              <w:left w:val="nil"/>
              <w:bottom w:val="single" w:color="auto" w:sz="4" w:space="0"/>
              <w:right w:val="nil"/>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1271"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27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cantSplit/>
          <w:trHeight w:val="675" w:hRule="atLeast"/>
        </w:trPr>
        <w:tc>
          <w:tcPr>
            <w:tcW w:w="418"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422"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398" w:type="pct"/>
            <w:tcBorders>
              <w:top w:val="nil"/>
              <w:left w:val="nil"/>
              <w:bottom w:val="single" w:color="auto" w:sz="4" w:space="0"/>
              <w:right w:val="single" w:color="auto" w:sz="4" w:space="0"/>
            </w:tcBorders>
            <w:vAlign w:val="center"/>
          </w:tcPr>
          <w:p>
            <w:pPr>
              <w:widowControl/>
              <w:ind w:firstLine="200" w:firstLineChars="100"/>
              <w:rPr>
                <w:rFonts w:ascii="宋体" w:hAnsi="宋体" w:cs="宋体"/>
                <w:color w:val="000000"/>
                <w:kern w:val="0"/>
                <w:sz w:val="20"/>
                <w:szCs w:val="20"/>
              </w:rPr>
            </w:pPr>
            <w:r>
              <w:rPr>
                <w:rFonts w:hint="eastAsia" w:ascii="宋体" w:hAnsi="宋体" w:cs="宋体"/>
                <w:color w:val="000000"/>
                <w:kern w:val="0"/>
                <w:sz w:val="20"/>
                <w:szCs w:val="20"/>
              </w:rPr>
              <w:t>指标4</w:t>
            </w:r>
          </w:p>
        </w:tc>
        <w:tc>
          <w:tcPr>
            <w:tcW w:w="437" w:type="pct"/>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可持续影响（强中差）</w:t>
            </w:r>
          </w:p>
        </w:tc>
        <w:tc>
          <w:tcPr>
            <w:tcW w:w="301" w:type="pct"/>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强　</w:t>
            </w:r>
          </w:p>
        </w:tc>
        <w:tc>
          <w:tcPr>
            <w:tcW w:w="236"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239" w:type="pct"/>
            <w:tcBorders>
              <w:top w:val="nil"/>
              <w:left w:val="nil"/>
              <w:bottom w:val="single" w:color="auto" w:sz="4" w:space="0"/>
              <w:right w:val="nil"/>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8</w:t>
            </w:r>
          </w:p>
        </w:tc>
        <w:tc>
          <w:tcPr>
            <w:tcW w:w="1271"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1273"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r>
      <w:tr>
        <w:tblPrEx>
          <w:tblCellMar>
            <w:top w:w="0" w:type="dxa"/>
            <w:left w:w="108" w:type="dxa"/>
            <w:bottom w:w="0" w:type="dxa"/>
            <w:right w:w="108" w:type="dxa"/>
          </w:tblCellMar>
        </w:tblPrEx>
        <w:trPr>
          <w:cantSplit/>
          <w:trHeight w:val="487" w:hRule="atLeast"/>
        </w:trPr>
        <w:tc>
          <w:tcPr>
            <w:tcW w:w="5000" w:type="pct"/>
            <w:gridSpan w:val="9"/>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三</w:t>
            </w:r>
            <w:r>
              <w:rPr>
                <w:rFonts w:ascii="宋体" w:hAnsi="宋体" w:cs="宋体"/>
                <w:color w:val="000000"/>
                <w:kern w:val="0"/>
                <w:sz w:val="18"/>
                <w:szCs w:val="18"/>
              </w:rPr>
              <w:t>、</w:t>
            </w:r>
            <w:r>
              <w:rPr>
                <w:rFonts w:hint="eastAsia" w:ascii="宋体" w:hAnsi="宋体" w:cs="宋体"/>
                <w:color w:val="000000"/>
                <w:kern w:val="0"/>
                <w:sz w:val="20"/>
                <w:szCs w:val="20"/>
              </w:rPr>
              <w:t>预算管理情况（20分）</w:t>
            </w:r>
          </w:p>
        </w:tc>
      </w:tr>
      <w:tr>
        <w:tblPrEx>
          <w:tblCellMar>
            <w:top w:w="0" w:type="dxa"/>
            <w:left w:w="108" w:type="dxa"/>
            <w:bottom w:w="0" w:type="dxa"/>
            <w:right w:w="108" w:type="dxa"/>
          </w:tblCellMar>
        </w:tblPrEx>
        <w:trPr>
          <w:cantSplit/>
          <w:trHeight w:val="702" w:hRule="atLeast"/>
        </w:trPr>
        <w:tc>
          <w:tcPr>
            <w:tcW w:w="418"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一</w:t>
            </w:r>
            <w:r>
              <w:rPr>
                <w:rFonts w:ascii="宋体" w:hAnsi="宋体" w:cs="宋体"/>
                <w:color w:val="000000"/>
                <w:kern w:val="0"/>
                <w:sz w:val="20"/>
                <w:szCs w:val="20"/>
              </w:rPr>
              <w:t>级指标</w:t>
            </w:r>
          </w:p>
        </w:tc>
        <w:tc>
          <w:tcPr>
            <w:tcW w:w="42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二</w:t>
            </w:r>
            <w:r>
              <w:rPr>
                <w:rFonts w:ascii="宋体" w:hAnsi="宋体" w:cs="宋体"/>
                <w:color w:val="000000"/>
                <w:kern w:val="0"/>
                <w:sz w:val="20"/>
                <w:szCs w:val="20"/>
              </w:rPr>
              <w:t>级指标</w:t>
            </w:r>
          </w:p>
        </w:tc>
        <w:tc>
          <w:tcPr>
            <w:tcW w:w="398"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三</w:t>
            </w:r>
            <w:r>
              <w:rPr>
                <w:rFonts w:ascii="宋体" w:hAnsi="宋体" w:cs="宋体"/>
                <w:color w:val="000000"/>
                <w:kern w:val="0"/>
                <w:sz w:val="20"/>
                <w:szCs w:val="20"/>
              </w:rPr>
              <w:t>级指标</w:t>
            </w:r>
          </w:p>
        </w:tc>
        <w:tc>
          <w:tcPr>
            <w:tcW w:w="437"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指标</w:t>
            </w:r>
            <w:r>
              <w:rPr>
                <w:rFonts w:ascii="宋体" w:hAnsi="宋体" w:cs="宋体"/>
                <w:color w:val="000000"/>
                <w:kern w:val="0"/>
                <w:sz w:val="20"/>
                <w:szCs w:val="20"/>
              </w:rPr>
              <w:t>值</w:t>
            </w:r>
          </w:p>
        </w:tc>
        <w:tc>
          <w:tcPr>
            <w:tcW w:w="301"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完成</w:t>
            </w:r>
            <w:r>
              <w:rPr>
                <w:rFonts w:ascii="宋体" w:hAnsi="宋体" w:cs="宋体"/>
                <w:color w:val="000000"/>
                <w:kern w:val="0"/>
                <w:sz w:val="20"/>
                <w:szCs w:val="20"/>
              </w:rPr>
              <w:t>值</w:t>
            </w:r>
          </w:p>
        </w:tc>
        <w:tc>
          <w:tcPr>
            <w:tcW w:w="236" w:type="pct"/>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分</w:t>
            </w:r>
            <w:r>
              <w:rPr>
                <w:rFonts w:ascii="宋体" w:hAnsi="宋体" w:cs="宋体"/>
                <w:color w:val="000000"/>
                <w:kern w:val="0"/>
                <w:sz w:val="20"/>
                <w:szCs w:val="20"/>
              </w:rPr>
              <w:t>值</w:t>
            </w:r>
          </w:p>
        </w:tc>
        <w:tc>
          <w:tcPr>
            <w:tcW w:w="239" w:type="pct"/>
            <w:tcBorders>
              <w:top w:val="single" w:color="auto" w:sz="4" w:space="0"/>
              <w:left w:val="nil"/>
              <w:bottom w:val="single" w:color="auto" w:sz="4" w:space="0"/>
              <w:right w:val="nil"/>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得</w:t>
            </w:r>
            <w:r>
              <w:rPr>
                <w:rFonts w:ascii="宋体" w:hAnsi="宋体" w:cs="宋体"/>
                <w:color w:val="000000"/>
                <w:kern w:val="0"/>
                <w:sz w:val="20"/>
                <w:szCs w:val="20"/>
              </w:rPr>
              <w:t>分</w:t>
            </w:r>
          </w:p>
        </w:tc>
        <w:tc>
          <w:tcPr>
            <w:tcW w:w="127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color w:val="000000"/>
                <w:kern w:val="0"/>
                <w:sz w:val="18"/>
                <w:szCs w:val="18"/>
              </w:rPr>
            </w:pPr>
            <w:r>
              <w:rPr>
                <w:rFonts w:hint="eastAsia" w:ascii="宋体" w:hAnsi="宋体" w:cs="宋体"/>
                <w:bCs/>
                <w:color w:val="000000"/>
                <w:kern w:val="0"/>
                <w:sz w:val="18"/>
                <w:szCs w:val="18"/>
              </w:rPr>
              <w:t>指标</w:t>
            </w:r>
            <w:r>
              <w:rPr>
                <w:rFonts w:ascii="宋体" w:hAnsi="宋体" w:cs="宋体"/>
                <w:bCs/>
                <w:color w:val="000000"/>
                <w:kern w:val="0"/>
                <w:sz w:val="18"/>
                <w:szCs w:val="18"/>
              </w:rPr>
              <w:t>解释</w:t>
            </w:r>
          </w:p>
        </w:tc>
        <w:tc>
          <w:tcPr>
            <w:tcW w:w="1273"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评</w:t>
            </w:r>
            <w:r>
              <w:rPr>
                <w:rFonts w:ascii="宋体" w:hAnsi="宋体" w:cs="宋体"/>
                <w:color w:val="000000"/>
                <w:kern w:val="0"/>
                <w:sz w:val="18"/>
                <w:szCs w:val="18"/>
              </w:rPr>
              <w:t>分标准</w:t>
            </w:r>
          </w:p>
        </w:tc>
      </w:tr>
      <w:tr>
        <w:tblPrEx>
          <w:tblCellMar>
            <w:top w:w="0" w:type="dxa"/>
            <w:left w:w="108" w:type="dxa"/>
            <w:bottom w:w="0" w:type="dxa"/>
            <w:right w:w="108" w:type="dxa"/>
          </w:tblCellMar>
        </w:tblPrEx>
        <w:trPr>
          <w:cantSplit/>
          <w:trHeight w:val="1230" w:hRule="atLeast"/>
        </w:trPr>
        <w:tc>
          <w:tcPr>
            <w:tcW w:w="418"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预算管理情况（20）</w:t>
            </w:r>
          </w:p>
        </w:tc>
        <w:tc>
          <w:tcPr>
            <w:tcW w:w="422" w:type="pct"/>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财务管理（4）</w:t>
            </w:r>
          </w:p>
        </w:tc>
        <w:tc>
          <w:tcPr>
            <w:tcW w:w="398"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财务管理制度健全性</w:t>
            </w:r>
          </w:p>
        </w:tc>
        <w:tc>
          <w:tcPr>
            <w:tcW w:w="437"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301"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236" w:type="pct"/>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239" w:type="pct"/>
            <w:tcBorders>
              <w:top w:val="single" w:color="auto" w:sz="4" w:space="0"/>
              <w:left w:val="nil"/>
              <w:bottom w:val="single" w:color="auto" w:sz="4" w:space="0"/>
              <w:right w:val="nil"/>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　</w:t>
            </w:r>
          </w:p>
        </w:tc>
        <w:tc>
          <w:tcPr>
            <w:tcW w:w="1271" w:type="pct"/>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b/>
                <w:bCs/>
                <w:color w:val="000000"/>
                <w:kern w:val="0"/>
                <w:sz w:val="18"/>
                <w:szCs w:val="18"/>
              </w:rPr>
              <w:t>财务管理制度健全性:</w:t>
            </w:r>
            <w:r>
              <w:rPr>
                <w:rFonts w:hint="eastAsia" w:ascii="宋体" w:hAnsi="宋体" w:cs="宋体"/>
                <w:color w:val="000000"/>
                <w:kern w:val="0"/>
                <w:sz w:val="18"/>
                <w:szCs w:val="18"/>
              </w:rPr>
              <w:t>部门（单位）为加强财务管理、规范财务行为而制定的管理制度。</w:t>
            </w:r>
          </w:p>
        </w:tc>
        <w:tc>
          <w:tcPr>
            <w:tcW w:w="1273" w:type="pct"/>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①预算资金管理办法、绩效跟踪管理办法、资产管理办法等各项制度是否健全；②部门内部财务管理制度是否完整、合规；③会计核算制度是否完整、合规。每有一项不合格扣0.5分，扣完为止。</w:t>
            </w:r>
          </w:p>
        </w:tc>
      </w:tr>
      <w:tr>
        <w:tblPrEx>
          <w:tblCellMar>
            <w:top w:w="0" w:type="dxa"/>
            <w:left w:w="108" w:type="dxa"/>
            <w:bottom w:w="0" w:type="dxa"/>
            <w:right w:w="108" w:type="dxa"/>
          </w:tblCellMar>
        </w:tblPrEx>
        <w:trPr>
          <w:cantSplit/>
          <w:trHeight w:val="2220" w:hRule="atLeast"/>
        </w:trPr>
        <w:tc>
          <w:tcPr>
            <w:tcW w:w="418" w:type="pct"/>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422" w:type="pct"/>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398"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资金使用合规性和安全性</w:t>
            </w:r>
          </w:p>
        </w:tc>
        <w:tc>
          <w:tcPr>
            <w:tcW w:w="437"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301"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236" w:type="pct"/>
            <w:tcBorders>
              <w:top w:val="single" w:color="auto" w:sz="4" w:space="0"/>
              <w:left w:val="nil"/>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w:t>
            </w:r>
          </w:p>
        </w:tc>
        <w:tc>
          <w:tcPr>
            <w:tcW w:w="239" w:type="pct"/>
            <w:tcBorders>
              <w:top w:val="single" w:color="auto" w:sz="4" w:space="0"/>
              <w:left w:val="nil"/>
              <w:bottom w:val="single" w:color="auto" w:sz="4" w:space="0"/>
              <w:right w:val="nil"/>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　</w:t>
            </w:r>
          </w:p>
        </w:tc>
        <w:tc>
          <w:tcPr>
            <w:tcW w:w="1271" w:type="pct"/>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b/>
                <w:bCs/>
                <w:color w:val="000000"/>
                <w:kern w:val="0"/>
                <w:sz w:val="18"/>
                <w:szCs w:val="18"/>
              </w:rPr>
              <w:t>资金使用合规性和安全性:</w:t>
            </w:r>
            <w:r>
              <w:rPr>
                <w:rFonts w:hint="eastAsia" w:ascii="宋体" w:hAnsi="宋体" w:cs="宋体"/>
                <w:color w:val="000000"/>
                <w:kern w:val="0"/>
                <w:sz w:val="18"/>
                <w:szCs w:val="18"/>
              </w:rPr>
              <w:t>部门（单位）使用预算资金是否符合相关的预算财务管理制度的规定，是否符合相关规定的开支范围，用以反映考核部门（单位）预算资金的规范运行和安全运行情况。</w:t>
            </w:r>
          </w:p>
        </w:tc>
        <w:tc>
          <w:tcPr>
            <w:tcW w:w="1273" w:type="pct"/>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①是否符合国家财经法规和财务管理制度规定以及有关专项资金管理办法的规定；②资金的拨付是否有完整的审批程序和手续；③项目的重大开支是否经过评估论证；④是否符合部门预算批复的用途；⑤是否存在截留、挤占、挪用情况；⑥资金使用是否符合政府采购的程序和流程；⑦资金使用是否符合公务卡结算相关制度和规定。每有一项不合格扣0.5分，扣完为止。</w:t>
            </w:r>
          </w:p>
        </w:tc>
      </w:tr>
      <w:tr>
        <w:tblPrEx>
          <w:tblCellMar>
            <w:top w:w="0" w:type="dxa"/>
            <w:left w:w="108" w:type="dxa"/>
            <w:bottom w:w="0" w:type="dxa"/>
            <w:right w:w="108" w:type="dxa"/>
          </w:tblCellMar>
        </w:tblPrEx>
        <w:trPr>
          <w:cantSplit/>
          <w:trHeight w:val="1111" w:hRule="atLeast"/>
        </w:trPr>
        <w:tc>
          <w:tcPr>
            <w:tcW w:w="418"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422" w:type="pct"/>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p>
        </w:tc>
        <w:tc>
          <w:tcPr>
            <w:tcW w:w="398" w:type="pct"/>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会计基础信息完善性</w:t>
            </w:r>
          </w:p>
        </w:tc>
        <w:tc>
          <w:tcPr>
            <w:tcW w:w="437" w:type="pct"/>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301" w:type="pct"/>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p>
        </w:tc>
        <w:tc>
          <w:tcPr>
            <w:tcW w:w="236" w:type="pct"/>
            <w:tcBorders>
              <w:top w:val="nil"/>
              <w:left w:val="nil"/>
              <w:bottom w:val="single" w:color="auto" w:sz="4" w:space="0"/>
              <w:right w:val="single" w:color="auto" w:sz="4" w:space="0"/>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p>
        </w:tc>
        <w:tc>
          <w:tcPr>
            <w:tcW w:w="239" w:type="pct"/>
            <w:tcBorders>
              <w:top w:val="nil"/>
              <w:left w:val="nil"/>
              <w:bottom w:val="single" w:color="auto" w:sz="4" w:space="0"/>
              <w:right w:val="nil"/>
            </w:tcBorders>
            <w:noWrap/>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　</w:t>
            </w:r>
          </w:p>
        </w:tc>
        <w:tc>
          <w:tcPr>
            <w:tcW w:w="1271" w:type="pc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b/>
                <w:bCs/>
                <w:color w:val="000000"/>
                <w:kern w:val="0"/>
                <w:sz w:val="18"/>
                <w:szCs w:val="18"/>
              </w:rPr>
              <w:t>会计基础信息完善性:</w:t>
            </w:r>
            <w:r>
              <w:rPr>
                <w:rFonts w:hint="eastAsia" w:ascii="宋体" w:hAnsi="宋体" w:cs="宋体"/>
                <w:color w:val="000000"/>
                <w:kern w:val="0"/>
                <w:sz w:val="18"/>
                <w:szCs w:val="18"/>
              </w:rPr>
              <w:t>部门（单位）会计基础信息情况。</w:t>
            </w:r>
          </w:p>
        </w:tc>
        <w:tc>
          <w:tcPr>
            <w:tcW w:w="1273" w:type="pct"/>
            <w:tcBorders>
              <w:top w:val="nil"/>
              <w:left w:val="nil"/>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ascii="宋体" w:hAnsi="宋体" w:cs="宋体"/>
                <w:color w:val="000000"/>
                <w:kern w:val="0"/>
                <w:sz w:val="18"/>
                <w:szCs w:val="18"/>
              </w:rPr>
            </w:pPr>
            <w:r>
              <w:rPr>
                <w:rFonts w:hint="eastAsia" w:ascii="宋体" w:hAnsi="宋体" w:cs="宋体"/>
                <w:color w:val="000000"/>
                <w:kern w:val="0"/>
                <w:sz w:val="18"/>
                <w:szCs w:val="18"/>
              </w:rPr>
              <w:t>①基础数据信息和会计信息资料是否真实；②基础数据信息和会计信息资料是否完整；③基础数据信息和会计信息资料是否准确。每有一项不合格扣0.5分，扣完为止。</w:t>
            </w:r>
          </w:p>
        </w:tc>
      </w:tr>
      <w:tr>
        <w:tblPrEx>
          <w:tblCellMar>
            <w:top w:w="0" w:type="dxa"/>
            <w:left w:w="108" w:type="dxa"/>
            <w:bottom w:w="0" w:type="dxa"/>
            <w:right w:w="108" w:type="dxa"/>
          </w:tblCellMar>
        </w:tblPrEx>
        <w:trPr>
          <w:cantSplit/>
          <w:trHeight w:val="2220" w:hRule="atLeast"/>
        </w:trPr>
        <w:tc>
          <w:tcPr>
            <w:tcW w:w="418"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422"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资产管理（4）</w:t>
            </w:r>
          </w:p>
        </w:tc>
        <w:tc>
          <w:tcPr>
            <w:tcW w:w="398"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资产管理规范性</w:t>
            </w:r>
          </w:p>
        </w:tc>
        <w:tc>
          <w:tcPr>
            <w:tcW w:w="437" w:type="pct"/>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301" w:type="pct"/>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36"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239"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　</w:t>
            </w:r>
          </w:p>
        </w:tc>
        <w:tc>
          <w:tcPr>
            <w:tcW w:w="1271" w:type="pct"/>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b/>
                <w:bCs/>
                <w:color w:val="000000"/>
                <w:kern w:val="0"/>
                <w:sz w:val="18"/>
                <w:szCs w:val="18"/>
              </w:rPr>
              <w:t>资产管理规范性:</w:t>
            </w:r>
            <w:r>
              <w:rPr>
                <w:rFonts w:hint="eastAsia" w:ascii="宋体" w:hAnsi="宋体" w:cs="宋体"/>
                <w:color w:val="000000"/>
                <w:kern w:val="0"/>
                <w:sz w:val="18"/>
                <w:szCs w:val="18"/>
              </w:rPr>
              <w:t>部门（单位）的资产是否保持安全完整，资产配置是否合理，资产使用和资产处理是否规范，用以反映和考核部门（单位）资产管理的整体水平。</w:t>
            </w:r>
          </w:p>
        </w:tc>
        <w:tc>
          <w:tcPr>
            <w:tcW w:w="1273" w:type="pct"/>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①对外投资行为是否经审批，是否存在投资亏损；②是否有因管理不当发生严重资产损失和丢失情况；③是否存在超标准配置资产；④资产使用是否规范，是否存在未经批准擅自出租、出借资产行为；⑤资产处置是否规范，是否存在不按要求进行报批或资产不公开处置行为；⑥其它资产管理制度办法执行情况。每有一项不合格扣0.8分，扣完为止。</w:t>
            </w:r>
          </w:p>
        </w:tc>
      </w:tr>
      <w:tr>
        <w:tblPrEx>
          <w:tblCellMar>
            <w:top w:w="0" w:type="dxa"/>
            <w:left w:w="108" w:type="dxa"/>
            <w:bottom w:w="0" w:type="dxa"/>
            <w:right w:w="108" w:type="dxa"/>
          </w:tblCellMar>
        </w:tblPrEx>
        <w:trPr>
          <w:cantSplit/>
          <w:trHeight w:val="1210" w:hRule="atLeast"/>
        </w:trPr>
        <w:tc>
          <w:tcPr>
            <w:tcW w:w="418"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422"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绩效管理（4）</w:t>
            </w:r>
          </w:p>
        </w:tc>
        <w:tc>
          <w:tcPr>
            <w:tcW w:w="398"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绩效管理情况</w:t>
            </w:r>
          </w:p>
        </w:tc>
        <w:tc>
          <w:tcPr>
            <w:tcW w:w="437" w:type="pct"/>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301" w:type="pct"/>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236"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239" w:type="pct"/>
            <w:tcBorders>
              <w:top w:val="single" w:color="auto" w:sz="4" w:space="0"/>
              <w:left w:val="nil"/>
              <w:bottom w:val="single" w:color="auto" w:sz="4" w:space="0"/>
              <w:right w:val="nil"/>
            </w:tcBorders>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4</w:t>
            </w:r>
            <w:r>
              <w:rPr>
                <w:rFonts w:hint="eastAsia" w:ascii="宋体" w:hAnsi="宋体" w:cs="宋体"/>
                <w:color w:val="000000"/>
                <w:kern w:val="0"/>
                <w:sz w:val="20"/>
                <w:szCs w:val="20"/>
              </w:rPr>
              <w:t>　</w:t>
            </w:r>
          </w:p>
        </w:tc>
        <w:tc>
          <w:tcPr>
            <w:tcW w:w="1271" w:type="pct"/>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b/>
                <w:bCs/>
                <w:color w:val="000000"/>
                <w:kern w:val="0"/>
                <w:sz w:val="18"/>
                <w:szCs w:val="18"/>
              </w:rPr>
              <w:t>绩效管理情况:</w:t>
            </w:r>
            <w:r>
              <w:rPr>
                <w:rFonts w:hint="eastAsia" w:ascii="宋体" w:hAnsi="宋体" w:cs="宋体"/>
                <w:color w:val="000000"/>
                <w:kern w:val="0"/>
                <w:sz w:val="18"/>
                <w:szCs w:val="18"/>
              </w:rPr>
              <w:t>考核部门（单位）在绩效管理信息的汇总和应用情况。</w:t>
            </w:r>
          </w:p>
        </w:tc>
        <w:tc>
          <w:tcPr>
            <w:tcW w:w="1273" w:type="pct"/>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①部门（单位）是否及时对绩效信息进行汇总分析整理；②部门（单位）是否对绩效目标偏离情况及时进行矫正。每有一项不合格扣2分。</w:t>
            </w:r>
          </w:p>
        </w:tc>
      </w:tr>
      <w:tr>
        <w:tblPrEx>
          <w:tblCellMar>
            <w:top w:w="0" w:type="dxa"/>
            <w:left w:w="108" w:type="dxa"/>
            <w:bottom w:w="0" w:type="dxa"/>
            <w:right w:w="108" w:type="dxa"/>
          </w:tblCellMar>
        </w:tblPrEx>
        <w:trPr>
          <w:cantSplit/>
          <w:trHeight w:val="394" w:hRule="atLeast"/>
        </w:trPr>
        <w:tc>
          <w:tcPr>
            <w:tcW w:w="418"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422"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指标　</w:t>
            </w:r>
          </w:p>
        </w:tc>
        <w:tc>
          <w:tcPr>
            <w:tcW w:w="836" w:type="pct"/>
            <w:gridSpan w:val="2"/>
            <w:tcBorders>
              <w:top w:val="single" w:color="auto" w:sz="4" w:space="0"/>
              <w:left w:val="nil"/>
              <w:bottom w:val="single" w:color="auto"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2021年</w:t>
            </w:r>
          </w:p>
        </w:tc>
        <w:tc>
          <w:tcPr>
            <w:tcW w:w="301"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2022年</w:t>
            </w:r>
          </w:p>
        </w:tc>
        <w:tc>
          <w:tcPr>
            <w:tcW w:w="236"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分值</w:t>
            </w:r>
          </w:p>
        </w:tc>
        <w:tc>
          <w:tcPr>
            <w:tcW w:w="239" w:type="pct"/>
            <w:tcBorders>
              <w:top w:val="single" w:color="auto" w:sz="4" w:space="0"/>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得分</w:t>
            </w:r>
          </w:p>
        </w:tc>
        <w:tc>
          <w:tcPr>
            <w:tcW w:w="1271" w:type="pc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bCs/>
                <w:color w:val="000000"/>
                <w:kern w:val="0"/>
                <w:sz w:val="18"/>
                <w:szCs w:val="18"/>
              </w:rPr>
              <w:t>指标</w:t>
            </w:r>
            <w:r>
              <w:rPr>
                <w:rFonts w:ascii="宋体" w:hAnsi="宋体" w:cs="宋体"/>
                <w:bCs/>
                <w:color w:val="000000"/>
                <w:kern w:val="0"/>
                <w:sz w:val="18"/>
                <w:szCs w:val="18"/>
              </w:rPr>
              <w:t>解释</w:t>
            </w:r>
          </w:p>
        </w:tc>
        <w:tc>
          <w:tcPr>
            <w:tcW w:w="1273" w:type="pct"/>
            <w:tcBorders>
              <w:top w:val="single" w:color="auto" w:sz="4" w:space="0"/>
              <w:left w:val="nil"/>
              <w:bottom w:val="single" w:color="auto" w:sz="4" w:space="0"/>
              <w:right w:val="single" w:color="auto" w:sz="4" w:space="0"/>
            </w:tcBorders>
            <w:vAlign w:val="center"/>
          </w:tcPr>
          <w:p>
            <w:pPr>
              <w:widowControl/>
              <w:jc w:val="center"/>
              <w:rPr>
                <w:rFonts w:eastAsia="Times New Roman"/>
                <w:kern w:val="0"/>
                <w:sz w:val="20"/>
                <w:szCs w:val="20"/>
              </w:rPr>
            </w:pPr>
            <w:r>
              <w:rPr>
                <w:rFonts w:hint="eastAsia" w:ascii="宋体" w:hAnsi="宋体" w:cs="宋体"/>
                <w:color w:val="000000"/>
                <w:kern w:val="0"/>
                <w:sz w:val="18"/>
                <w:szCs w:val="18"/>
              </w:rPr>
              <w:t>评</w:t>
            </w:r>
            <w:r>
              <w:rPr>
                <w:rFonts w:ascii="宋体" w:hAnsi="宋体" w:cs="宋体"/>
                <w:color w:val="000000"/>
                <w:kern w:val="0"/>
                <w:sz w:val="18"/>
                <w:szCs w:val="18"/>
              </w:rPr>
              <w:t>分标准</w:t>
            </w:r>
          </w:p>
        </w:tc>
      </w:tr>
      <w:tr>
        <w:tblPrEx>
          <w:tblCellMar>
            <w:top w:w="0" w:type="dxa"/>
            <w:left w:w="108" w:type="dxa"/>
            <w:bottom w:w="0" w:type="dxa"/>
            <w:right w:w="108" w:type="dxa"/>
          </w:tblCellMar>
        </w:tblPrEx>
        <w:trPr>
          <w:cantSplit/>
          <w:trHeight w:val="2229" w:hRule="atLeast"/>
        </w:trPr>
        <w:tc>
          <w:tcPr>
            <w:tcW w:w="418"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422" w:type="pct"/>
            <w:tcBorders>
              <w:top w:val="nil"/>
              <w:left w:val="nil"/>
              <w:bottom w:val="single" w:color="auto" w:sz="4" w:space="0"/>
              <w:right w:val="single" w:color="auto" w:sz="4" w:space="0"/>
            </w:tcBorders>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结转结余率（4）</w:t>
            </w:r>
          </w:p>
        </w:tc>
        <w:tc>
          <w:tcPr>
            <w:tcW w:w="836" w:type="pct"/>
            <w:gridSpan w:val="2"/>
            <w:tcBorders>
              <w:top w:val="single" w:color="auto" w:sz="4" w:space="0"/>
              <w:left w:val="nil"/>
              <w:bottom w:val="single" w:color="auto" w:sz="4" w:space="0"/>
              <w:right w:val="single" w:color="000000"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r>
              <w:rPr>
                <w:rFonts w:ascii="宋体" w:hAnsi="宋体" w:cs="宋体"/>
                <w:color w:val="000000"/>
                <w:kern w:val="0"/>
                <w:sz w:val="20"/>
                <w:szCs w:val="20"/>
              </w:rPr>
              <w:t>2.06%</w:t>
            </w:r>
          </w:p>
        </w:tc>
        <w:tc>
          <w:tcPr>
            <w:tcW w:w="301" w:type="pct"/>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w:t>
            </w:r>
            <w:r>
              <w:rPr>
                <w:rFonts w:ascii="宋体" w:hAnsi="宋体" w:cs="宋体"/>
                <w:color w:val="000000"/>
                <w:kern w:val="0"/>
                <w:sz w:val="20"/>
                <w:szCs w:val="20"/>
              </w:rPr>
              <w:t>.70%</w:t>
            </w:r>
          </w:p>
        </w:tc>
        <w:tc>
          <w:tcPr>
            <w:tcW w:w="236" w:type="pct"/>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239" w:type="pct"/>
            <w:tcBorders>
              <w:top w:val="nil"/>
              <w:left w:val="nil"/>
              <w:bottom w:val="single" w:color="auto" w:sz="4" w:space="0"/>
              <w:right w:val="nil"/>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1271" w:type="pct"/>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结转结余率=结转结余总额/支出预算数×100%。</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结转结余总额：部门（单位）本年度的结转资金与结余资金之和。</w:t>
            </w:r>
          </w:p>
        </w:tc>
        <w:tc>
          <w:tcPr>
            <w:tcW w:w="1273" w:type="pct"/>
            <w:tcBorders>
              <w:top w:val="single" w:color="auto" w:sz="4" w:space="0"/>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部门结转结余率低于上年的不扣分；高于上年结余率，每高出1个百分点扣0.4分，扣完为止。（说明：预算调整和结转结余指标，如非预算部门主观因素导致扣分的，在评分结果征求意见环节，经与相关部门预算主管处室共同研究，可作为例外情况酌情考虑。）</w:t>
            </w:r>
          </w:p>
        </w:tc>
      </w:tr>
      <w:tr>
        <w:tblPrEx>
          <w:tblCellMar>
            <w:top w:w="0" w:type="dxa"/>
            <w:left w:w="108" w:type="dxa"/>
            <w:bottom w:w="0" w:type="dxa"/>
            <w:right w:w="108" w:type="dxa"/>
          </w:tblCellMar>
        </w:tblPrEx>
        <w:trPr>
          <w:cantSplit/>
          <w:trHeight w:val="981" w:hRule="atLeast"/>
        </w:trPr>
        <w:tc>
          <w:tcPr>
            <w:tcW w:w="418" w:type="pct"/>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20"/>
                <w:szCs w:val="20"/>
              </w:rPr>
            </w:pPr>
          </w:p>
        </w:tc>
        <w:tc>
          <w:tcPr>
            <w:tcW w:w="422" w:type="pct"/>
            <w:tcBorders>
              <w:top w:val="nil"/>
              <w:left w:val="nil"/>
              <w:bottom w:val="single" w:color="auto" w:sz="4" w:space="0"/>
              <w:right w:val="single" w:color="auto" w:sz="4" w:space="0"/>
            </w:tcBorders>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部门预决算差异率（4）</w:t>
            </w:r>
          </w:p>
        </w:tc>
        <w:tc>
          <w:tcPr>
            <w:tcW w:w="836" w:type="pct"/>
            <w:gridSpan w:val="2"/>
            <w:tcBorders>
              <w:top w:val="single" w:color="auto" w:sz="4" w:space="0"/>
              <w:left w:val="nil"/>
              <w:bottom w:val="single" w:color="auto" w:sz="4" w:space="0"/>
              <w:right w:val="nil"/>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w:t>
            </w:r>
          </w:p>
        </w:tc>
        <w:tc>
          <w:tcPr>
            <w:tcW w:w="301" w:type="pc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4</w:t>
            </w:r>
            <w:r>
              <w:rPr>
                <w:rFonts w:ascii="宋体" w:hAnsi="宋体" w:cs="宋体"/>
                <w:color w:val="000000"/>
                <w:kern w:val="0"/>
                <w:sz w:val="20"/>
                <w:szCs w:val="20"/>
              </w:rPr>
              <w:t>.66%</w:t>
            </w:r>
          </w:p>
        </w:tc>
        <w:tc>
          <w:tcPr>
            <w:tcW w:w="236" w:type="pct"/>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w:t>
            </w:r>
          </w:p>
        </w:tc>
        <w:tc>
          <w:tcPr>
            <w:tcW w:w="239" w:type="pct"/>
            <w:tcBorders>
              <w:top w:val="nil"/>
              <w:left w:val="nil"/>
              <w:bottom w:val="single" w:color="auto" w:sz="4" w:space="0"/>
              <w:right w:val="nil"/>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4　</w:t>
            </w:r>
          </w:p>
        </w:tc>
        <w:tc>
          <w:tcPr>
            <w:tcW w:w="1271" w:type="pct"/>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通过年度部门决算与年初部门预算对比，对部门的年度支出情况进行考核，衡量部门预算的约束力。</w:t>
            </w:r>
          </w:p>
        </w:tc>
        <w:tc>
          <w:tcPr>
            <w:tcW w:w="1273" w:type="pct"/>
            <w:tcBorders>
              <w:top w:val="nil"/>
              <w:left w:val="nil"/>
              <w:bottom w:val="single" w:color="auto" w:sz="4" w:space="0"/>
              <w:right w:val="single" w:color="auto" w:sz="4" w:space="0"/>
            </w:tcBorders>
            <w:vAlign w:val="center"/>
          </w:tcPr>
          <w:p>
            <w:pPr>
              <w:widowControl/>
              <w:jc w:val="left"/>
              <w:rPr>
                <w:rFonts w:ascii="宋体" w:hAnsi="宋体" w:cs="宋体"/>
                <w:color w:val="000000"/>
                <w:kern w:val="0"/>
                <w:sz w:val="18"/>
                <w:szCs w:val="18"/>
              </w:rPr>
            </w:pPr>
            <w:r>
              <w:rPr>
                <w:rFonts w:hint="eastAsia" w:ascii="宋体" w:hAnsi="宋体" w:cs="宋体"/>
                <w:color w:val="000000"/>
                <w:kern w:val="0"/>
                <w:sz w:val="18"/>
                <w:szCs w:val="18"/>
              </w:rPr>
              <w:t>部门预决算差异率高于市级平均差异率（28.3%）的，每高出10%（含），扣0.4分，扣完为止。</w:t>
            </w:r>
          </w:p>
        </w:tc>
      </w:tr>
      <w:tr>
        <w:tblPrEx>
          <w:tblCellMar>
            <w:top w:w="0" w:type="dxa"/>
            <w:left w:w="108" w:type="dxa"/>
            <w:bottom w:w="0" w:type="dxa"/>
            <w:right w:w="108" w:type="dxa"/>
          </w:tblCellMar>
        </w:tblPrEx>
        <w:trPr>
          <w:cantSplit/>
          <w:trHeight w:val="484" w:hRule="atLeast"/>
        </w:trPr>
        <w:tc>
          <w:tcPr>
            <w:tcW w:w="1978" w:type="pct"/>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合计</w:t>
            </w:r>
          </w:p>
        </w:tc>
        <w:tc>
          <w:tcPr>
            <w:tcW w:w="236" w:type="pct"/>
            <w:tcBorders>
              <w:top w:val="nil"/>
              <w:left w:val="nil"/>
              <w:bottom w:val="single" w:color="auto" w:sz="4" w:space="0"/>
              <w:right w:val="single" w:color="auto" w:sz="4" w:space="0"/>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100</w:t>
            </w:r>
          </w:p>
        </w:tc>
        <w:tc>
          <w:tcPr>
            <w:tcW w:w="239" w:type="pct"/>
            <w:tcBorders>
              <w:top w:val="nil"/>
              <w:left w:val="nil"/>
              <w:bottom w:val="single" w:color="auto" w:sz="4" w:space="0"/>
              <w:right w:val="nil"/>
            </w:tcBorders>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9</w:t>
            </w:r>
            <w:r>
              <w:rPr>
                <w:rFonts w:ascii="宋体" w:hAnsi="宋体" w:cs="宋体"/>
                <w:color w:val="000000"/>
                <w:kern w:val="0"/>
                <w:sz w:val="20"/>
                <w:szCs w:val="20"/>
              </w:rPr>
              <w:t>3.6</w:t>
            </w:r>
            <w:r>
              <w:rPr>
                <w:rFonts w:hint="eastAsia" w:ascii="宋体" w:hAnsi="宋体" w:cs="宋体"/>
                <w:color w:val="000000"/>
                <w:kern w:val="0"/>
                <w:sz w:val="20"/>
                <w:szCs w:val="20"/>
              </w:rPr>
              <w:t>　</w:t>
            </w:r>
          </w:p>
        </w:tc>
        <w:tc>
          <w:tcPr>
            <w:tcW w:w="2544" w:type="pct"/>
            <w:gridSpan w:val="2"/>
            <w:tcBorders>
              <w:top w:val="single" w:color="auto" w:sz="4" w:space="0"/>
              <w:left w:val="single" w:color="auto" w:sz="4" w:space="0"/>
              <w:bottom w:val="single" w:color="auto" w:sz="4" w:space="0"/>
              <w:right w:val="single" w:color="000000" w:sz="4" w:space="0"/>
            </w:tcBorders>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　</w:t>
            </w:r>
          </w:p>
        </w:tc>
      </w:tr>
    </w:tbl>
    <w:p>
      <w:pPr>
        <w:spacing w:line="600" w:lineRule="exact"/>
        <w:rPr>
          <w:rFonts w:ascii="仿宋_GB2312" w:hAnsi="宋体" w:eastAsia="仿宋_GB2312" w:cs="宋体"/>
          <w:color w:val="000000"/>
          <w:kern w:val="0"/>
          <w:sz w:val="32"/>
          <w:szCs w:val="32"/>
        </w:rPr>
        <w:sectPr>
          <w:pgSz w:w="16838" w:h="11906" w:orient="landscape"/>
          <w:pgMar w:top="1800" w:right="1440" w:bottom="1800" w:left="1440" w:header="851" w:footer="992" w:gutter="0"/>
          <w:cols w:space="425" w:num="1"/>
          <w:docGrid w:type="lines" w:linePitch="312" w:charSpace="0"/>
        </w:sectPr>
      </w:pPr>
    </w:p>
    <w:p>
      <w:pPr>
        <w:tabs>
          <w:tab w:val="left" w:pos="3130"/>
        </w:tabs>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等线">
    <w:altName w:val="仿宋_GB2312"/>
    <w:panose1 w:val="00000000000000000000"/>
    <w:charset w:val="86"/>
    <w:family w:val="auto"/>
    <w:pitch w:val="default"/>
    <w:sig w:usb0="00000000" w:usb1="00000000" w:usb2="00000000" w:usb3="00000000" w:csb0="00000000" w:csb1="00000000"/>
  </w:font>
  <w:font w:name="等线">
    <w:altName w:val="仿宋_GB2312"/>
    <w:panose1 w:val="00000000000000000000"/>
    <w:charset w:val="00"/>
    <w:family w:val="auto"/>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方正楷体_GBK"/>
    <w:panose1 w:val="00000000000000000000"/>
    <w:charset w:val="86"/>
    <w:family w:val="modern"/>
    <w:pitch w:val="default"/>
    <w:sig w:usb0="00000000" w:usb1="00000000" w:usb2="0000001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jc w:val="center"/>
      <w:rPr>
        <w:sz w:val="21"/>
        <w:szCs w:val="21"/>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3E3"/>
    <w:rsid w:val="0000178B"/>
    <w:rsid w:val="00092336"/>
    <w:rsid w:val="000938E2"/>
    <w:rsid w:val="000B1640"/>
    <w:rsid w:val="000C354E"/>
    <w:rsid w:val="00163135"/>
    <w:rsid w:val="00165B60"/>
    <w:rsid w:val="00185982"/>
    <w:rsid w:val="00190C06"/>
    <w:rsid w:val="00197540"/>
    <w:rsid w:val="001B4C76"/>
    <w:rsid w:val="001C2CF8"/>
    <w:rsid w:val="001E7886"/>
    <w:rsid w:val="00202E27"/>
    <w:rsid w:val="00206DCB"/>
    <w:rsid w:val="002E19A7"/>
    <w:rsid w:val="00362E76"/>
    <w:rsid w:val="00381ABB"/>
    <w:rsid w:val="003D0B07"/>
    <w:rsid w:val="003E032C"/>
    <w:rsid w:val="00456BD3"/>
    <w:rsid w:val="00485F65"/>
    <w:rsid w:val="00491306"/>
    <w:rsid w:val="004D3320"/>
    <w:rsid w:val="004D60FE"/>
    <w:rsid w:val="004E09CC"/>
    <w:rsid w:val="00524936"/>
    <w:rsid w:val="0054691E"/>
    <w:rsid w:val="00580B6F"/>
    <w:rsid w:val="005945A7"/>
    <w:rsid w:val="00597DE0"/>
    <w:rsid w:val="005B597B"/>
    <w:rsid w:val="00631903"/>
    <w:rsid w:val="00691A4A"/>
    <w:rsid w:val="006B3306"/>
    <w:rsid w:val="006E04E9"/>
    <w:rsid w:val="00700103"/>
    <w:rsid w:val="00760E84"/>
    <w:rsid w:val="00763A47"/>
    <w:rsid w:val="00776029"/>
    <w:rsid w:val="007F53E3"/>
    <w:rsid w:val="008142F7"/>
    <w:rsid w:val="00826E37"/>
    <w:rsid w:val="008D0C8D"/>
    <w:rsid w:val="008F6B05"/>
    <w:rsid w:val="00A37472"/>
    <w:rsid w:val="00A83A63"/>
    <w:rsid w:val="00AA51CC"/>
    <w:rsid w:val="00B1445E"/>
    <w:rsid w:val="00B55FCF"/>
    <w:rsid w:val="00B70D56"/>
    <w:rsid w:val="00B71941"/>
    <w:rsid w:val="00B940DF"/>
    <w:rsid w:val="00BC352B"/>
    <w:rsid w:val="00BD18B3"/>
    <w:rsid w:val="00BD7A04"/>
    <w:rsid w:val="00BF6FE9"/>
    <w:rsid w:val="00C06033"/>
    <w:rsid w:val="00C07D4B"/>
    <w:rsid w:val="00C20127"/>
    <w:rsid w:val="00C43102"/>
    <w:rsid w:val="00C47507"/>
    <w:rsid w:val="00C73AD7"/>
    <w:rsid w:val="00C87B92"/>
    <w:rsid w:val="00CC34C9"/>
    <w:rsid w:val="00CE69EC"/>
    <w:rsid w:val="00CE717F"/>
    <w:rsid w:val="00CF703E"/>
    <w:rsid w:val="00D07DD7"/>
    <w:rsid w:val="00D41F0C"/>
    <w:rsid w:val="00D51890"/>
    <w:rsid w:val="00D736AB"/>
    <w:rsid w:val="00D824C8"/>
    <w:rsid w:val="00DC3721"/>
    <w:rsid w:val="00DD14F2"/>
    <w:rsid w:val="00E43FB9"/>
    <w:rsid w:val="00F00330"/>
    <w:rsid w:val="00F25EAE"/>
    <w:rsid w:val="00F3417D"/>
    <w:rsid w:val="00F35AF5"/>
    <w:rsid w:val="00F80AB7"/>
    <w:rsid w:val="00F97416"/>
    <w:rsid w:val="00F977E7"/>
    <w:rsid w:val="00FD0752"/>
    <w:rsid w:val="BEFEF899"/>
    <w:rsid w:val="D93F6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9"/>
    <w:qFormat/>
    <w:uiPriority w:val="9"/>
    <w:pPr>
      <w:spacing w:line="600" w:lineRule="exact"/>
      <w:ind w:firstLine="640"/>
      <w:outlineLvl w:val="0"/>
    </w:pPr>
    <w:rPr>
      <w:rFonts w:ascii="黑体" w:hAnsi="黑体" w:eastAsia="黑体" w:cs="宋体"/>
      <w:color w:val="000000"/>
      <w:kern w:val="0"/>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标题 1 字符"/>
    <w:basedOn w:val="6"/>
    <w:link w:val="2"/>
    <w:qFormat/>
    <w:uiPriority w:val="9"/>
    <w:rPr>
      <w:rFonts w:ascii="黑体" w:hAnsi="黑体" w:eastAsia="黑体" w:cs="宋体"/>
      <w:color w:val="000000"/>
      <w:kern w:val="0"/>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909</Words>
  <Characters>5182</Characters>
  <Lines>43</Lines>
  <Paragraphs>12</Paragraphs>
  <TotalTime>3</TotalTime>
  <ScaleCrop>false</ScaleCrop>
  <LinksUpToDate>false</LinksUpToDate>
  <CharactersWithSpaces>6079</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2022-05-26T17:24:00Z</dcterms:created>
  <dc:creator>薇 薛</dc:creator>
  <cp:lastModifiedBy>lenovo</cp:lastModifiedBy>
  <dcterms:modified xsi:type="dcterms:W3CDTF">2023-08-25T11:16:09Z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