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z w:val="52"/>
          <w:szCs w:val="52"/>
        </w:rPr>
      </w:pPr>
      <w:bookmarkStart w:id="0" w:name="_GoBack"/>
      <w:bookmarkEnd w:id="0"/>
      <w:r>
        <w:rPr>
          <w:rFonts w:hint="eastAsia" w:ascii="宋体" w:hAnsi="宋体"/>
          <w:b/>
          <w:bCs/>
          <w:color w:val="000000"/>
          <w:sz w:val="52"/>
          <w:szCs w:val="52"/>
        </w:rPr>
        <w:t>北京市市级预算部门财政项目支出</w:t>
      </w:r>
    </w:p>
    <w:p>
      <w:pPr>
        <w:jc w:val="center"/>
        <w:rPr>
          <w:rFonts w:ascii="宋体" w:hAnsi="宋体"/>
          <w:b/>
          <w:bCs/>
          <w:color w:val="000000"/>
          <w:sz w:val="52"/>
          <w:szCs w:val="52"/>
        </w:rPr>
      </w:pPr>
      <w:r>
        <w:rPr>
          <w:rFonts w:hint="eastAsia" w:ascii="宋体" w:hAnsi="宋体"/>
          <w:b/>
          <w:bCs/>
          <w:color w:val="000000"/>
          <w:sz w:val="52"/>
          <w:szCs w:val="52"/>
        </w:rPr>
        <w:t>绩效评价报告</w:t>
      </w:r>
    </w:p>
    <w:p>
      <w:pPr>
        <w:jc w:val="center"/>
        <w:rPr>
          <w:rFonts w:ascii="宋体" w:hAnsi="宋体"/>
          <w:b/>
          <w:bCs/>
          <w:color w:val="000000"/>
          <w:sz w:val="32"/>
          <w:szCs w:val="32"/>
        </w:rPr>
      </w:pPr>
    </w:p>
    <w:p>
      <w:pPr>
        <w:jc w:val="center"/>
        <w:rPr>
          <w:rFonts w:ascii="宋体" w:hAnsi="宋体"/>
          <w:color w:val="000000"/>
          <w:sz w:val="32"/>
          <w:szCs w:val="32"/>
        </w:rPr>
      </w:pPr>
    </w:p>
    <w:p>
      <w:pPr>
        <w:jc w:val="center"/>
        <w:rPr>
          <w:rFonts w:ascii="宋体" w:hAnsi="宋体"/>
          <w:color w:val="000000"/>
          <w:sz w:val="32"/>
          <w:szCs w:val="32"/>
        </w:rPr>
      </w:pPr>
    </w:p>
    <w:p>
      <w:pPr>
        <w:jc w:val="center"/>
        <w:rPr>
          <w:rFonts w:ascii="宋体" w:hAnsi="宋体"/>
          <w:color w:val="000000"/>
          <w:sz w:val="32"/>
          <w:szCs w:val="32"/>
        </w:rPr>
      </w:pPr>
    </w:p>
    <w:p>
      <w:pPr>
        <w:jc w:val="center"/>
        <w:rPr>
          <w:rFonts w:ascii="宋体" w:hAnsi="宋体"/>
          <w:color w:val="000000"/>
          <w:sz w:val="32"/>
          <w:szCs w:val="32"/>
        </w:rPr>
      </w:pPr>
    </w:p>
    <w:p>
      <w:pPr>
        <w:jc w:val="center"/>
        <w:rPr>
          <w:rFonts w:ascii="宋体" w:hAnsi="宋体"/>
          <w:color w:val="000000"/>
          <w:sz w:val="32"/>
          <w:szCs w:val="32"/>
        </w:rPr>
      </w:pPr>
    </w:p>
    <w:tbl>
      <w:tblPr>
        <w:tblStyle w:val="5"/>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6"/>
        <w:gridCol w:w="1748"/>
        <w:gridCol w:w="9"/>
        <w:gridCol w:w="5661"/>
        <w:gridCol w:w="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6" w:type="dxa"/>
          <w:trHeight w:val="567" w:hRule="atLeast"/>
          <w:jc w:val="center"/>
        </w:trPr>
        <w:tc>
          <w:tcPr>
            <w:tcW w:w="1757" w:type="dxa"/>
            <w:gridSpan w:val="2"/>
            <w:vAlign w:val="bottom"/>
          </w:tcPr>
          <w:p>
            <w:pPr>
              <w:jc w:val="center"/>
              <w:rPr>
                <w:rFonts w:ascii="宋体" w:hAnsi="宋体"/>
                <w:color w:val="000000"/>
                <w:sz w:val="30"/>
              </w:rPr>
            </w:pPr>
            <w:r>
              <w:rPr>
                <w:rFonts w:hint="eastAsia" w:ascii="宋体" w:hAnsi="宋体"/>
                <w:color w:val="000000"/>
                <w:sz w:val="30"/>
              </w:rPr>
              <w:t>主管部门</w:t>
            </w:r>
          </w:p>
        </w:tc>
        <w:tc>
          <w:tcPr>
            <w:tcW w:w="5670" w:type="dxa"/>
            <w:gridSpan w:val="2"/>
            <w:vAlign w:val="bottom"/>
          </w:tcPr>
          <w:p>
            <w:pPr>
              <w:rPr>
                <w:rFonts w:ascii="宋体" w:hAnsi="宋体"/>
                <w:color w:val="000000"/>
                <w:sz w:val="30"/>
              </w:rPr>
            </w:pPr>
            <w:r>
              <w:rPr>
                <w:rFonts w:ascii="宋体" w:hAnsi="宋体"/>
                <w:color w:val="000000"/>
                <w:sz w:val="30"/>
              </w:rPr>
              <w:t>北京市法学会</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6" w:type="dxa"/>
          <w:trHeight w:val="567" w:hRule="atLeast"/>
          <w:jc w:val="center"/>
        </w:trPr>
        <w:tc>
          <w:tcPr>
            <w:tcW w:w="1757" w:type="dxa"/>
            <w:gridSpan w:val="2"/>
            <w:vAlign w:val="bottom"/>
          </w:tcPr>
          <w:p>
            <w:pPr>
              <w:jc w:val="center"/>
              <w:rPr>
                <w:rFonts w:ascii="宋体" w:hAnsi="宋体"/>
                <w:color w:val="000000"/>
                <w:sz w:val="30"/>
              </w:rPr>
            </w:pPr>
            <w:r>
              <w:rPr>
                <w:rFonts w:hint="eastAsia" w:ascii="宋体" w:hAnsi="宋体"/>
                <w:color w:val="000000"/>
                <w:sz w:val="30"/>
              </w:rPr>
              <w:t>项目单位</w:t>
            </w:r>
          </w:p>
        </w:tc>
        <w:tc>
          <w:tcPr>
            <w:tcW w:w="5670" w:type="dxa"/>
            <w:gridSpan w:val="2"/>
            <w:vAlign w:val="bottom"/>
          </w:tcPr>
          <w:p>
            <w:pPr>
              <w:rPr>
                <w:rFonts w:ascii="宋体" w:hAnsi="宋体"/>
                <w:color w:val="000000"/>
                <w:sz w:val="30"/>
              </w:rPr>
            </w:pPr>
            <w:r>
              <w:rPr>
                <w:rFonts w:ascii="宋体" w:hAnsi="宋体"/>
                <w:color w:val="000000"/>
                <w:sz w:val="30"/>
              </w:rPr>
              <w:t>北京市</w:t>
            </w:r>
            <w:r>
              <w:rPr>
                <w:rFonts w:hint="eastAsia" w:ascii="宋体" w:hAnsi="宋体"/>
                <w:color w:val="000000"/>
                <w:sz w:val="30"/>
              </w:rPr>
              <w:t>法学会本级</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6" w:type="dxa"/>
          <w:trHeight w:val="567" w:hRule="atLeast"/>
          <w:jc w:val="center"/>
        </w:trPr>
        <w:tc>
          <w:tcPr>
            <w:tcW w:w="1757" w:type="dxa"/>
            <w:gridSpan w:val="2"/>
            <w:vAlign w:val="bottom"/>
          </w:tcPr>
          <w:p>
            <w:pPr>
              <w:jc w:val="center"/>
              <w:rPr>
                <w:rFonts w:ascii="宋体" w:hAnsi="宋体"/>
                <w:color w:val="000000"/>
                <w:sz w:val="30"/>
              </w:rPr>
            </w:pPr>
            <w:r>
              <w:rPr>
                <w:rFonts w:hint="eastAsia" w:ascii="宋体" w:hAnsi="宋体"/>
                <w:color w:val="000000"/>
                <w:sz w:val="30"/>
              </w:rPr>
              <w:t>项目名称</w:t>
            </w:r>
          </w:p>
        </w:tc>
        <w:tc>
          <w:tcPr>
            <w:tcW w:w="5670" w:type="dxa"/>
            <w:gridSpan w:val="2"/>
            <w:vAlign w:val="bottom"/>
          </w:tcPr>
          <w:p>
            <w:pPr>
              <w:rPr>
                <w:rFonts w:ascii="宋体" w:hAnsi="宋体"/>
                <w:color w:val="000000"/>
                <w:sz w:val="30"/>
              </w:rPr>
            </w:pPr>
            <w:r>
              <w:rPr>
                <w:rFonts w:hint="eastAsia" w:ascii="宋体" w:hAnsi="宋体"/>
                <w:color w:val="000000"/>
                <w:sz w:val="30"/>
              </w:rPr>
              <w:t>市级法学课题研究</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6" w:type="dxa"/>
          <w:trHeight w:val="567" w:hRule="atLeast"/>
          <w:jc w:val="center"/>
        </w:trPr>
        <w:tc>
          <w:tcPr>
            <w:tcW w:w="1757" w:type="dxa"/>
            <w:gridSpan w:val="2"/>
            <w:vAlign w:val="bottom"/>
          </w:tcPr>
          <w:p>
            <w:pPr>
              <w:jc w:val="center"/>
              <w:rPr>
                <w:rFonts w:ascii="宋体" w:hAnsi="宋体"/>
                <w:color w:val="000000"/>
                <w:sz w:val="30"/>
              </w:rPr>
            </w:pPr>
            <w:r>
              <w:rPr>
                <w:rFonts w:ascii="宋体" w:hAnsi="宋体"/>
                <w:color w:val="000000"/>
                <w:sz w:val="30"/>
              </w:rPr>
              <w:t>评价机构</w:t>
            </w:r>
          </w:p>
        </w:tc>
        <w:tc>
          <w:tcPr>
            <w:tcW w:w="5670" w:type="dxa"/>
            <w:gridSpan w:val="2"/>
            <w:vAlign w:val="bottom"/>
          </w:tcPr>
          <w:p>
            <w:pPr>
              <w:rPr>
                <w:rFonts w:ascii="宋体" w:hAnsi="宋体"/>
                <w:color w:val="000000"/>
                <w:sz w:val="30"/>
              </w:rPr>
            </w:pPr>
            <w:r>
              <w:rPr>
                <w:rFonts w:ascii="宋体" w:hAnsi="宋体"/>
                <w:color w:val="000000"/>
                <w:sz w:val="30"/>
              </w:rPr>
              <w:t>北京市法学会</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9" w:type="dxa"/>
          <w:trHeight w:val="567" w:hRule="atLeast"/>
          <w:jc w:val="center"/>
        </w:trPr>
        <w:tc>
          <w:tcPr>
            <w:tcW w:w="1754" w:type="dxa"/>
            <w:gridSpan w:val="2"/>
            <w:vAlign w:val="bottom"/>
          </w:tcPr>
          <w:p>
            <w:pPr>
              <w:spacing w:line="360" w:lineRule="exact"/>
              <w:jc w:val="center"/>
              <w:rPr>
                <w:rFonts w:ascii="宋体" w:hAnsi="宋体"/>
                <w:color w:val="000000"/>
                <w:sz w:val="30"/>
              </w:rPr>
            </w:pPr>
            <w:r>
              <w:rPr>
                <w:rFonts w:ascii="宋体" w:hAnsi="宋体"/>
                <w:color w:val="000000"/>
                <w:sz w:val="30"/>
              </w:rPr>
              <w:t>参与评价</w:t>
            </w:r>
          </w:p>
          <w:p>
            <w:pPr>
              <w:spacing w:line="360" w:lineRule="exact"/>
              <w:jc w:val="center"/>
              <w:rPr>
                <w:rFonts w:ascii="宋体" w:hAnsi="宋体"/>
                <w:color w:val="000000"/>
                <w:sz w:val="30"/>
              </w:rPr>
            </w:pPr>
            <w:r>
              <w:rPr>
                <w:rFonts w:ascii="宋体" w:hAnsi="宋体"/>
                <w:color w:val="000000"/>
                <w:sz w:val="30"/>
              </w:rPr>
              <w:t>中介机构</w:t>
            </w:r>
          </w:p>
        </w:tc>
        <w:tc>
          <w:tcPr>
            <w:tcW w:w="5670" w:type="dxa"/>
            <w:gridSpan w:val="2"/>
            <w:vAlign w:val="bottom"/>
          </w:tcPr>
          <w:p>
            <w:pPr>
              <w:rPr>
                <w:rFonts w:ascii="宋体" w:hAnsi="宋体"/>
                <w:color w:val="000000"/>
                <w:sz w:val="30"/>
              </w:rPr>
            </w:pPr>
            <w:r>
              <w:rPr>
                <w:rFonts w:hint="eastAsia" w:ascii="宋体" w:hAnsi="宋体"/>
                <w:color w:val="000000"/>
                <w:sz w:val="30"/>
                <w:szCs w:val="30"/>
              </w:rPr>
              <w:t>北</w:t>
            </w:r>
            <w:r>
              <w:rPr>
                <w:rFonts w:hint="eastAsia" w:ascii="宋体" w:hAnsi="宋体"/>
                <w:color w:val="000000"/>
                <w:sz w:val="30"/>
              </w:rPr>
              <w:t>京智信仁合管理咨询有限公司</w:t>
            </w:r>
          </w:p>
        </w:tc>
      </w:tr>
    </w:tbl>
    <w:p>
      <w:pPr>
        <w:ind w:firstLine="1500" w:firstLineChars="500"/>
        <w:rPr>
          <w:rFonts w:ascii="黑体" w:hAnsi="黑体" w:eastAsia="黑体"/>
          <w:color w:val="000000"/>
          <w:sz w:val="30"/>
          <w:u w:val="single"/>
        </w:rPr>
      </w:pPr>
    </w:p>
    <w:p>
      <w:pPr>
        <w:ind w:firstLine="1500" w:firstLineChars="500"/>
        <w:rPr>
          <w:rFonts w:ascii="黑体" w:hAnsi="黑体" w:eastAsia="黑体"/>
          <w:color w:val="000000"/>
          <w:sz w:val="30"/>
          <w:u w:val="single"/>
        </w:rPr>
      </w:pPr>
    </w:p>
    <w:p>
      <w:pPr>
        <w:ind w:firstLine="1500" w:firstLineChars="500"/>
        <w:rPr>
          <w:rFonts w:ascii="黑体" w:hAnsi="黑体" w:eastAsia="黑体"/>
          <w:color w:val="000000"/>
          <w:sz w:val="30"/>
          <w:u w:val="single"/>
        </w:rPr>
      </w:pPr>
    </w:p>
    <w:p>
      <w:pPr>
        <w:jc w:val="center"/>
        <w:rPr>
          <w:rFonts w:ascii="黑体" w:hAnsi="黑体" w:eastAsia="黑体"/>
          <w:color w:val="000000"/>
          <w:sz w:val="36"/>
          <w:szCs w:val="36"/>
        </w:rPr>
      </w:pPr>
      <w:r>
        <w:rPr>
          <w:rFonts w:hint="eastAsia" w:ascii="黑体" w:hAnsi="黑体" w:eastAsia="黑体"/>
          <w:color w:val="000000"/>
          <w:sz w:val="36"/>
          <w:szCs w:val="36"/>
        </w:rPr>
        <w:t>北京市法学会</w:t>
      </w:r>
    </w:p>
    <w:p>
      <w:pPr>
        <w:jc w:val="center"/>
        <w:rPr>
          <w:rFonts w:ascii="黑体" w:hAnsi="黑体" w:eastAsia="黑体"/>
          <w:color w:val="000000"/>
          <w:sz w:val="36"/>
          <w:szCs w:val="36"/>
        </w:rPr>
      </w:pPr>
      <w:r>
        <w:rPr>
          <w:rFonts w:hint="eastAsia" w:ascii="黑体" w:hAnsi="黑体" w:eastAsia="黑体"/>
          <w:color w:val="000000"/>
          <w:sz w:val="36"/>
          <w:szCs w:val="36"/>
        </w:rPr>
        <w:t>20</w:t>
      </w:r>
      <w:r>
        <w:rPr>
          <w:rFonts w:ascii="黑体" w:hAnsi="黑体" w:eastAsia="黑体"/>
          <w:color w:val="000000"/>
          <w:sz w:val="36"/>
          <w:szCs w:val="36"/>
        </w:rPr>
        <w:t>23</w:t>
      </w:r>
      <w:r>
        <w:rPr>
          <w:rFonts w:hint="eastAsia" w:ascii="黑体" w:hAnsi="黑体" w:eastAsia="黑体"/>
          <w:color w:val="000000"/>
          <w:sz w:val="36"/>
          <w:szCs w:val="36"/>
        </w:rPr>
        <w:t>年</w:t>
      </w:r>
      <w:r>
        <w:rPr>
          <w:rFonts w:ascii="黑体" w:hAnsi="黑体" w:eastAsia="黑体"/>
          <w:color w:val="000000"/>
          <w:sz w:val="36"/>
          <w:szCs w:val="36"/>
        </w:rPr>
        <w:t>5</w:t>
      </w:r>
      <w:r>
        <w:rPr>
          <w:rFonts w:hint="eastAsia" w:ascii="黑体" w:hAnsi="黑体" w:eastAsia="黑体"/>
          <w:color w:val="000000"/>
          <w:sz w:val="36"/>
          <w:szCs w:val="36"/>
        </w:rPr>
        <w:t>月</w:t>
      </w:r>
    </w:p>
    <w:p>
      <w:pPr>
        <w:spacing w:line="560" w:lineRule="exact"/>
        <w:jc w:val="center"/>
        <w:rPr>
          <w:rFonts w:ascii="方正小标宋简体" w:eastAsia="方正小标宋简体"/>
          <w:sz w:val="36"/>
          <w:szCs w:val="36"/>
        </w:rPr>
      </w:pPr>
    </w:p>
    <w:p>
      <w:pPr>
        <w:spacing w:line="560" w:lineRule="exact"/>
        <w:jc w:val="center"/>
        <w:rPr>
          <w:rFonts w:ascii="方正小标宋简体" w:eastAsia="方正小标宋简体"/>
          <w:sz w:val="36"/>
          <w:szCs w:val="36"/>
        </w:rPr>
      </w:pPr>
    </w:p>
    <w:p>
      <w:pPr>
        <w:spacing w:line="560" w:lineRule="exact"/>
        <w:jc w:val="center"/>
        <w:rPr>
          <w:rFonts w:ascii="方正小标宋简体" w:eastAsia="方正小标宋简体"/>
          <w:sz w:val="36"/>
          <w:szCs w:val="36"/>
        </w:rPr>
      </w:pPr>
    </w:p>
    <w:p>
      <w:pPr>
        <w:spacing w:line="560" w:lineRule="exact"/>
        <w:jc w:val="center"/>
        <w:rPr>
          <w:rFonts w:ascii="方正小标宋简体" w:eastAsia="方正小标宋简体"/>
          <w:sz w:val="36"/>
          <w:szCs w:val="36"/>
        </w:rPr>
      </w:pP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项目支出绩效评价报告</w:t>
      </w:r>
    </w:p>
    <w:p>
      <w:pPr>
        <w:jc w:val="center"/>
        <w:rPr>
          <w:rFonts w:ascii="仿宋_GB2312" w:eastAsia="仿宋_GB2312"/>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（一）项目概况。包括项目背景、主要内容及实施情况、资金投入和使用情况等。</w:t>
      </w:r>
    </w:p>
    <w:p>
      <w:pPr>
        <w:spacing w:line="600" w:lineRule="exact"/>
        <w:ind w:firstLine="960" w:firstLineChars="3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项目背景</w:t>
      </w:r>
    </w:p>
    <w:p>
      <w:pPr>
        <w:spacing w:line="600" w:lineRule="exact"/>
        <w:ind w:firstLine="960" w:firstLineChars="3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党和国家工作大局中存在迫切需要解决的重大法学理论问题和法治实践问题，全市法治建设面临重大法律问题、政法工作亟需解决的问题，市法学会作为推进社会主义法治建设的重要力量，在新形势下要积极参与国家和北京法治建设，服务北京经济社会发展。每年度，主要通过立项课题和学术交流的形式组织开展法学研究工作，提出破解法治实践难题、解决重大法律问题的对策建议。</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主要内容</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“法学课题研究经费”项目面向全市符合条件的法学专家学者立项，由市法学会组织实施。</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课题实行委托与招标相结合的办法。招标课题面向社会公开招标，市法学会组织专家进行立项评审后，择优立项；委托课题由市法学会根据研究需要确定。获准立项的，由市法学会颁发立项通知书，并将立项结果在首都法学网公布。市法学会根据课题实施情况组织中期检查，同时对课题进展情况、成果转化情况及经费使用情况进行跟踪检查。市法学会对年度课题统一组织结项。</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法学研究课题包括市级法学研究重点课题、一般课题和青年课题，是经北京市委政法委批准、北京市法学会立项并组织实施的市级课题。课题围绕市委市政府的中心工作，就社会热点、难点、焦点问题开展研究，提出法律对策建议。</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项目资金情况</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本项目年初预算资金</w:t>
      </w:r>
      <w:r>
        <w:rPr>
          <w:rFonts w:ascii="楷体_GB2312" w:hAnsi="楷体_GB2312" w:eastAsia="楷体_GB2312" w:cs="楷体_GB2312"/>
          <w:sz w:val="32"/>
          <w:szCs w:val="32"/>
        </w:rPr>
        <w:t>104</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5</w:t>
      </w:r>
      <w:r>
        <w:rPr>
          <w:rFonts w:hint="eastAsia" w:ascii="楷体_GB2312" w:hAnsi="楷体_GB2312" w:eastAsia="楷体_GB2312" w:cs="楷体_GB2312"/>
          <w:sz w:val="32"/>
          <w:szCs w:val="32"/>
        </w:rPr>
        <w:t>0万元，预算收入为</w:t>
      </w:r>
      <w:r>
        <w:rPr>
          <w:rFonts w:ascii="楷体_GB2312" w:hAnsi="楷体_GB2312" w:eastAsia="楷体_GB2312" w:cs="楷体_GB2312"/>
          <w:sz w:val="32"/>
          <w:szCs w:val="32"/>
        </w:rPr>
        <w:t>104</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5</w:t>
      </w:r>
      <w:r>
        <w:rPr>
          <w:rFonts w:hint="eastAsia" w:ascii="楷体_GB2312" w:hAnsi="楷体_GB2312" w:eastAsia="楷体_GB2312" w:cs="楷体_GB2312"/>
          <w:sz w:val="32"/>
          <w:szCs w:val="32"/>
        </w:rPr>
        <w:t>0万元，预算支出为</w:t>
      </w:r>
      <w:r>
        <w:rPr>
          <w:rFonts w:ascii="楷体_GB2312" w:hAnsi="楷体_GB2312" w:eastAsia="楷体_GB2312" w:cs="楷体_GB2312"/>
          <w:sz w:val="32"/>
          <w:szCs w:val="32"/>
        </w:rPr>
        <w:t>104</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00</w:t>
      </w:r>
      <w:r>
        <w:rPr>
          <w:rFonts w:hint="eastAsia" w:ascii="楷体_GB2312" w:hAnsi="楷体_GB2312" w:eastAsia="楷体_GB2312" w:cs="楷体_GB2312"/>
          <w:sz w:val="32"/>
          <w:szCs w:val="32"/>
        </w:rPr>
        <w:t>万元，年末结转资金为0.</w:t>
      </w:r>
      <w:r>
        <w:rPr>
          <w:rFonts w:ascii="楷体_GB2312" w:hAnsi="楷体_GB2312" w:eastAsia="楷体_GB2312" w:cs="楷体_GB2312"/>
          <w:sz w:val="32"/>
          <w:szCs w:val="32"/>
        </w:rPr>
        <w:t>50</w:t>
      </w:r>
      <w:r>
        <w:rPr>
          <w:rFonts w:hint="eastAsia" w:ascii="楷体_GB2312" w:hAnsi="楷体_GB2312" w:eastAsia="楷体_GB2312" w:cs="楷体_GB2312"/>
          <w:sz w:val="32"/>
          <w:szCs w:val="32"/>
        </w:rPr>
        <w:t>万元，预算执行率为</w:t>
      </w:r>
      <w:r>
        <w:rPr>
          <w:rFonts w:ascii="楷体_GB2312" w:hAnsi="楷体_GB2312" w:eastAsia="楷体_GB2312" w:cs="楷体_GB2312"/>
          <w:sz w:val="32"/>
          <w:szCs w:val="32"/>
        </w:rPr>
        <w:t>99.52</w:t>
      </w:r>
      <w:r>
        <w:rPr>
          <w:rFonts w:hint="eastAsia" w:ascii="楷体_GB2312" w:hAnsi="楷体_GB2312" w:eastAsia="楷体_GB2312" w:cs="楷体_GB2312"/>
          <w:sz w:val="32"/>
          <w:szCs w:val="32"/>
        </w:rPr>
        <w:t>%。项目明细预算执行情况如下表所示：</w:t>
      </w:r>
    </w:p>
    <w:p>
      <w:pPr>
        <w:spacing w:line="600" w:lineRule="exact"/>
        <w:ind w:firstLine="6080" w:firstLineChars="19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金额单位：元</w:t>
      </w:r>
    </w:p>
    <w:tbl>
      <w:tblPr>
        <w:tblStyle w:val="5"/>
        <w:tblW w:w="9499" w:type="dxa"/>
        <w:tblInd w:w="-176" w:type="dxa"/>
        <w:tblLayout w:type="fixed"/>
        <w:tblCellMar>
          <w:top w:w="0" w:type="dxa"/>
          <w:left w:w="108" w:type="dxa"/>
          <w:bottom w:w="0" w:type="dxa"/>
          <w:right w:w="108" w:type="dxa"/>
        </w:tblCellMar>
      </w:tblPr>
      <w:tblGrid>
        <w:gridCol w:w="2269"/>
        <w:gridCol w:w="1559"/>
        <w:gridCol w:w="1701"/>
        <w:gridCol w:w="1701"/>
        <w:gridCol w:w="1193"/>
        <w:gridCol w:w="1076"/>
      </w:tblGrid>
      <w:tr>
        <w:tblPrEx>
          <w:tblCellMar>
            <w:top w:w="0" w:type="dxa"/>
            <w:left w:w="108" w:type="dxa"/>
            <w:bottom w:w="0" w:type="dxa"/>
            <w:right w:w="108" w:type="dxa"/>
          </w:tblCellMar>
        </w:tblPrEx>
        <w:trPr>
          <w:trHeight w:val="255" w:hRule="atLeast"/>
        </w:trPr>
        <w:tc>
          <w:tcPr>
            <w:tcW w:w="2269"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项目名称</w:t>
            </w:r>
          </w:p>
        </w:tc>
        <w:tc>
          <w:tcPr>
            <w:tcW w:w="3260" w:type="dxa"/>
            <w:gridSpan w:val="2"/>
            <w:tcBorders>
              <w:top w:val="single" w:color="auto" w:sz="4" w:space="0"/>
              <w:left w:val="nil"/>
              <w:bottom w:val="single" w:color="auto" w:sz="4" w:space="0"/>
              <w:right w:val="single" w:color="auto" w:sz="4" w:space="0"/>
            </w:tcBorders>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预算数（元）</w:t>
            </w:r>
          </w:p>
        </w:tc>
        <w:tc>
          <w:tcPr>
            <w:tcW w:w="1701"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 xml:space="preserve">实际使用数 </w:t>
            </w:r>
          </w:p>
        </w:tc>
        <w:tc>
          <w:tcPr>
            <w:tcW w:w="1193"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b/>
                <w:bCs/>
                <w:color w:val="000000"/>
                <w:kern w:val="0"/>
                <w:sz w:val="24"/>
              </w:rPr>
            </w:pPr>
            <w:r>
              <w:rPr>
                <w:rFonts w:hint="eastAsia" w:ascii="宋体" w:hAnsi="宋体" w:cs="Arial"/>
                <w:b/>
                <w:bCs/>
                <w:color w:val="000000"/>
                <w:kern w:val="0"/>
                <w:sz w:val="24"/>
              </w:rPr>
              <w:t>年末结转和结余</w:t>
            </w:r>
          </w:p>
        </w:tc>
        <w:tc>
          <w:tcPr>
            <w:tcW w:w="1076"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预算执行（%）</w:t>
            </w:r>
          </w:p>
        </w:tc>
      </w:tr>
      <w:tr>
        <w:tblPrEx>
          <w:tblCellMar>
            <w:top w:w="0" w:type="dxa"/>
            <w:left w:w="108" w:type="dxa"/>
            <w:bottom w:w="0" w:type="dxa"/>
            <w:right w:w="108" w:type="dxa"/>
          </w:tblCellMar>
        </w:tblPrEx>
        <w:trPr>
          <w:trHeight w:val="255"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Arial"/>
                <w:b/>
                <w:bCs/>
                <w:color w:val="000000"/>
                <w:kern w:val="0"/>
                <w:sz w:val="24"/>
              </w:rPr>
            </w:pPr>
          </w:p>
        </w:tc>
        <w:tc>
          <w:tcPr>
            <w:tcW w:w="1559" w:type="dxa"/>
            <w:tcBorders>
              <w:top w:val="nil"/>
              <w:left w:val="nil"/>
              <w:bottom w:val="single" w:color="auto" w:sz="4" w:space="0"/>
              <w:right w:val="single" w:color="auto" w:sz="4" w:space="0"/>
            </w:tcBorders>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财政</w:t>
            </w:r>
          </w:p>
        </w:tc>
        <w:tc>
          <w:tcPr>
            <w:tcW w:w="1701" w:type="dxa"/>
            <w:tcBorders>
              <w:top w:val="nil"/>
              <w:left w:val="nil"/>
              <w:bottom w:val="single" w:color="auto" w:sz="4" w:space="0"/>
              <w:right w:val="single" w:color="auto" w:sz="4" w:space="0"/>
            </w:tcBorders>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合计</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Arial"/>
                <w:b/>
                <w:bCs/>
                <w:color w:val="000000"/>
                <w:kern w:val="0"/>
                <w:sz w:val="24"/>
              </w:rPr>
            </w:pPr>
          </w:p>
        </w:tc>
        <w:tc>
          <w:tcPr>
            <w:tcW w:w="1193" w:type="dxa"/>
            <w:vMerge w:val="continue"/>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Arial"/>
                <w:b/>
                <w:bCs/>
                <w:color w:val="000000"/>
                <w:kern w:val="0"/>
                <w:sz w:val="24"/>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Arial"/>
                <w:b/>
                <w:bCs/>
                <w:color w:val="000000"/>
                <w:kern w:val="0"/>
                <w:sz w:val="24"/>
              </w:rPr>
            </w:pPr>
          </w:p>
        </w:tc>
      </w:tr>
      <w:tr>
        <w:tblPrEx>
          <w:tblCellMar>
            <w:top w:w="0" w:type="dxa"/>
            <w:left w:w="108" w:type="dxa"/>
            <w:bottom w:w="0" w:type="dxa"/>
            <w:right w:w="108" w:type="dxa"/>
          </w:tblCellMar>
        </w:tblPrEx>
        <w:trPr>
          <w:trHeight w:val="255" w:hRule="atLeast"/>
        </w:trPr>
        <w:tc>
          <w:tcPr>
            <w:tcW w:w="2269" w:type="dxa"/>
            <w:tcBorders>
              <w:top w:val="nil"/>
              <w:left w:val="single" w:color="auto" w:sz="4" w:space="0"/>
              <w:bottom w:val="single" w:color="auto" w:sz="4" w:space="0"/>
              <w:right w:val="single" w:color="auto" w:sz="4" w:space="0"/>
            </w:tcBorders>
            <w:vAlign w:val="bottom"/>
          </w:tcPr>
          <w:p>
            <w:pPr>
              <w:widowControl/>
              <w:jc w:val="left"/>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市级法学课题研究</w:t>
            </w:r>
            <w:r>
              <w:rPr>
                <w:rFonts w:ascii="宋体" w:hAnsi="宋体"/>
                <w:color w:val="000000"/>
                <w:kern w:val="0"/>
                <w:sz w:val="24"/>
              </w:rPr>
              <w:t xml:space="preserve"> </w:t>
            </w:r>
          </w:p>
        </w:tc>
        <w:tc>
          <w:tcPr>
            <w:tcW w:w="1559" w:type="dxa"/>
            <w:tcBorders>
              <w:top w:val="nil"/>
              <w:left w:val="nil"/>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 xml:space="preserve">1,045,000.00 </w:t>
            </w:r>
          </w:p>
        </w:tc>
        <w:tc>
          <w:tcPr>
            <w:tcW w:w="1701" w:type="dxa"/>
            <w:tcBorders>
              <w:top w:val="nil"/>
              <w:left w:val="nil"/>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 xml:space="preserve">1,045,000.00 </w:t>
            </w:r>
          </w:p>
        </w:tc>
        <w:tc>
          <w:tcPr>
            <w:tcW w:w="1701" w:type="dxa"/>
            <w:tcBorders>
              <w:top w:val="nil"/>
              <w:left w:val="nil"/>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 xml:space="preserve">1,040,000.00 </w:t>
            </w:r>
          </w:p>
        </w:tc>
        <w:tc>
          <w:tcPr>
            <w:tcW w:w="1193" w:type="dxa"/>
            <w:tcBorders>
              <w:top w:val="single" w:color="auto" w:sz="4" w:space="0"/>
              <w:left w:val="nil"/>
              <w:bottom w:val="single" w:color="auto" w:sz="4" w:space="0"/>
              <w:right w:val="single" w:color="auto" w:sz="4" w:space="0"/>
            </w:tcBorders>
          </w:tcPr>
          <w:p>
            <w:pPr>
              <w:widowControl/>
              <w:jc w:val="right"/>
              <w:rPr>
                <w:rFonts w:eastAsia="仿宋"/>
                <w:color w:val="000000"/>
                <w:kern w:val="0"/>
                <w:sz w:val="24"/>
              </w:rPr>
            </w:pPr>
            <w:r>
              <w:rPr>
                <w:rFonts w:eastAsia="仿宋"/>
                <w:color w:val="000000"/>
                <w:kern w:val="0"/>
                <w:sz w:val="24"/>
              </w:rPr>
              <w:t>5</w:t>
            </w:r>
            <w:r>
              <w:rPr>
                <w:rFonts w:hint="eastAsia" w:eastAsia="仿宋"/>
                <w:color w:val="000000"/>
                <w:kern w:val="0"/>
                <w:sz w:val="24"/>
              </w:rPr>
              <w:t>,</w:t>
            </w:r>
            <w:r>
              <w:rPr>
                <w:rFonts w:eastAsia="仿宋"/>
                <w:color w:val="000000"/>
                <w:kern w:val="0"/>
                <w:sz w:val="24"/>
              </w:rPr>
              <w:t>000</w:t>
            </w:r>
            <w:r>
              <w:rPr>
                <w:rFonts w:hint="eastAsia" w:eastAsia="仿宋"/>
                <w:color w:val="000000"/>
                <w:kern w:val="0"/>
                <w:sz w:val="24"/>
              </w:rPr>
              <w:t>.</w:t>
            </w:r>
            <w:r>
              <w:rPr>
                <w:rFonts w:eastAsia="仿宋"/>
                <w:color w:val="000000"/>
                <w:kern w:val="0"/>
                <w:sz w:val="24"/>
              </w:rPr>
              <w:t>00</w:t>
            </w:r>
          </w:p>
        </w:tc>
        <w:tc>
          <w:tcPr>
            <w:tcW w:w="1076" w:type="dxa"/>
            <w:tcBorders>
              <w:top w:val="nil"/>
              <w:left w:val="single" w:color="auto" w:sz="4" w:space="0"/>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99.52%</w:t>
            </w:r>
          </w:p>
        </w:tc>
      </w:tr>
      <w:tr>
        <w:tblPrEx>
          <w:tblCellMar>
            <w:top w:w="0" w:type="dxa"/>
            <w:left w:w="108" w:type="dxa"/>
            <w:bottom w:w="0" w:type="dxa"/>
            <w:right w:w="108" w:type="dxa"/>
          </w:tblCellMar>
        </w:tblPrEx>
        <w:trPr>
          <w:trHeight w:val="255" w:hRule="atLeast"/>
        </w:trPr>
        <w:tc>
          <w:tcPr>
            <w:tcW w:w="2269"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4"/>
              </w:rPr>
            </w:pPr>
            <w:r>
              <w:rPr>
                <w:rFonts w:hint="eastAsia" w:ascii="宋体" w:hAnsi="宋体" w:cs="Arial"/>
                <w:color w:val="000000"/>
                <w:kern w:val="0"/>
                <w:sz w:val="24"/>
              </w:rPr>
              <w:t>合计</w:t>
            </w:r>
          </w:p>
        </w:tc>
        <w:tc>
          <w:tcPr>
            <w:tcW w:w="1559" w:type="dxa"/>
            <w:tcBorders>
              <w:top w:val="nil"/>
              <w:left w:val="nil"/>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1,045,000.00</w:t>
            </w:r>
          </w:p>
        </w:tc>
        <w:tc>
          <w:tcPr>
            <w:tcW w:w="1701" w:type="dxa"/>
            <w:tcBorders>
              <w:top w:val="nil"/>
              <w:left w:val="nil"/>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1,045,000.00</w:t>
            </w:r>
          </w:p>
        </w:tc>
        <w:tc>
          <w:tcPr>
            <w:tcW w:w="1701" w:type="dxa"/>
            <w:tcBorders>
              <w:top w:val="nil"/>
              <w:left w:val="nil"/>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1,040,000.00</w:t>
            </w:r>
          </w:p>
        </w:tc>
        <w:tc>
          <w:tcPr>
            <w:tcW w:w="1193" w:type="dxa"/>
            <w:tcBorders>
              <w:top w:val="single" w:color="auto" w:sz="4" w:space="0"/>
              <w:left w:val="nil"/>
              <w:bottom w:val="single" w:color="auto" w:sz="4" w:space="0"/>
              <w:right w:val="single" w:color="auto" w:sz="4" w:space="0"/>
            </w:tcBorders>
          </w:tcPr>
          <w:p>
            <w:pPr>
              <w:widowControl/>
              <w:jc w:val="right"/>
              <w:rPr>
                <w:rFonts w:eastAsia="仿宋"/>
                <w:color w:val="000000"/>
                <w:kern w:val="0"/>
                <w:sz w:val="24"/>
              </w:rPr>
            </w:pPr>
            <w:r>
              <w:rPr>
                <w:rFonts w:eastAsia="仿宋"/>
                <w:color w:val="000000"/>
                <w:kern w:val="0"/>
                <w:sz w:val="24"/>
              </w:rPr>
              <w:t>5</w:t>
            </w:r>
            <w:r>
              <w:rPr>
                <w:rFonts w:hint="eastAsia" w:eastAsia="仿宋"/>
                <w:color w:val="000000"/>
                <w:kern w:val="0"/>
                <w:sz w:val="24"/>
              </w:rPr>
              <w:t>,</w:t>
            </w:r>
            <w:r>
              <w:rPr>
                <w:rFonts w:eastAsia="仿宋"/>
                <w:color w:val="000000"/>
                <w:kern w:val="0"/>
                <w:sz w:val="24"/>
              </w:rPr>
              <w:t>000.00</w:t>
            </w:r>
          </w:p>
        </w:tc>
        <w:tc>
          <w:tcPr>
            <w:tcW w:w="1076" w:type="dxa"/>
            <w:tcBorders>
              <w:top w:val="nil"/>
              <w:left w:val="single" w:color="auto" w:sz="4" w:space="0"/>
              <w:bottom w:val="single" w:color="auto" w:sz="4" w:space="0"/>
              <w:right w:val="single" w:color="auto" w:sz="4" w:space="0"/>
            </w:tcBorders>
            <w:vAlign w:val="bottom"/>
          </w:tcPr>
          <w:p>
            <w:pPr>
              <w:widowControl/>
              <w:jc w:val="right"/>
              <w:rPr>
                <w:rFonts w:eastAsia="仿宋"/>
                <w:color w:val="000000"/>
                <w:kern w:val="0"/>
                <w:sz w:val="24"/>
              </w:rPr>
            </w:pPr>
            <w:r>
              <w:rPr>
                <w:rFonts w:eastAsia="仿宋"/>
                <w:color w:val="000000"/>
                <w:kern w:val="0"/>
                <w:sz w:val="24"/>
              </w:rPr>
              <w:t>99.52%</w:t>
            </w:r>
          </w:p>
        </w:tc>
      </w:tr>
    </w:tbl>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（二）项目绩效目标。包括总体目标和阶段性目标。</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项目中期目标：研究破解本市法治建设的重点、难点问题，服务全市法治建设。通过组织课题研究，发挥桥梁纽带作用，服务市委市政府中心工作，服务首都法治建设大局，为建立法治中国首善之区发挥重要作用。</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年度目标（202</w:t>
      </w:r>
      <w:r>
        <w:rPr>
          <w:rFonts w:ascii="楷体_GB2312" w:hAnsi="楷体_GB2312" w:eastAsia="楷体_GB2312" w:cs="楷体_GB2312"/>
          <w:sz w:val="32"/>
          <w:szCs w:val="32"/>
        </w:rPr>
        <w:t>2</w:t>
      </w:r>
      <w:r>
        <w:rPr>
          <w:rFonts w:hint="eastAsia" w:ascii="楷体_GB2312" w:hAnsi="楷体_GB2312" w:eastAsia="楷体_GB2312" w:cs="楷体_GB2312"/>
          <w:sz w:val="32"/>
          <w:szCs w:val="32"/>
        </w:rPr>
        <w:t>年）：市法学会作为学术团体，发挥建言献策作用。通过设立课题，动员专家学者承担研究任务，贡献聪明智慧，形成研究成果，服务领导决策和法治实践。市级法学课题研究是经市委政法委批准的项目，以问题为导向，研究破解本市法治建设的重点、难点问题，服务全市法治建设。每年立项重点课题10个，一般课题20个，青年课题10个。在广泛征求选提建议的基础上，形成课题指南，经过市委政法委批准，通过政府购买服务方式确定课题主持人，完成研究任务。</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为深化全过程预算绩效管理，促进预算部门提高成本绩效意识，提高预算执行效率和资金使用效益，根据《北京市预算绩效管理办法》(京财绩效〔2019〕2129号)及北京市财政局《北京市财政局关于2023年推进全面实施预算绩效管理工作的预通知》的通知等文件规定，市法学会成立绩效评价工作组，对法学会本级20</w:t>
      </w:r>
      <w:r>
        <w:rPr>
          <w:rFonts w:ascii="楷体_GB2312" w:hAnsi="楷体_GB2312" w:eastAsia="楷体_GB2312" w:cs="楷体_GB2312"/>
          <w:sz w:val="32"/>
          <w:szCs w:val="32"/>
        </w:rPr>
        <w:t>22</w:t>
      </w:r>
      <w:r>
        <w:rPr>
          <w:rFonts w:hint="eastAsia" w:ascii="楷体_GB2312" w:hAnsi="楷体_GB2312" w:eastAsia="楷体_GB2312" w:cs="楷体_GB2312"/>
          <w:sz w:val="32"/>
          <w:szCs w:val="32"/>
        </w:rPr>
        <w:t>年实际法学课题研究项目进行了绩效评价。</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（二）绩效评价原则、评价指标体系（附表说明）、评价方法、评价标准等。</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（1）绩效评价原则</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财政支出绩效评价是客观评价，所有用来评价的指标均可量化，所有参与评价的单位和个人都必须遵循评价价值中立原则，即财政支出绩效评价结果，只取决于各项目实施主体的工作业绩的客观实际，而不取决于评价人的价值判断和个人意愿。评价结果不会因为评价人价值观念的不一致而有所不同。</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公正公开原则。绩效评价应当符合真实、客观、公正的要求，依法公开并接受监督。</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绩效相关原则。绩效评价应当针对具体支出及其产出绩效进行，评价结果应当清晰反映支出和产出绩效之间的紧密对应关系。</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（2）评价指标体系及评价标准</w:t>
      </w:r>
    </w:p>
    <w:tbl>
      <w:tblPr>
        <w:tblStyle w:val="5"/>
        <w:tblW w:w="0" w:type="auto"/>
        <w:jc w:val="center"/>
        <w:tblLayout w:type="fixed"/>
        <w:tblCellMar>
          <w:top w:w="0" w:type="dxa"/>
          <w:left w:w="108" w:type="dxa"/>
          <w:bottom w:w="0" w:type="dxa"/>
          <w:right w:w="108" w:type="dxa"/>
        </w:tblCellMar>
      </w:tblPr>
      <w:tblGrid>
        <w:gridCol w:w="1432"/>
        <w:gridCol w:w="1432"/>
        <w:gridCol w:w="1432"/>
        <w:gridCol w:w="2161"/>
        <w:gridCol w:w="948"/>
      </w:tblGrid>
      <w:tr>
        <w:tblPrEx>
          <w:tblCellMar>
            <w:top w:w="0" w:type="dxa"/>
            <w:left w:w="108" w:type="dxa"/>
            <w:bottom w:w="0" w:type="dxa"/>
            <w:right w:w="108" w:type="dxa"/>
          </w:tblCellMar>
        </w:tblPrEx>
        <w:trPr>
          <w:trHeight w:val="600" w:hRule="atLeast"/>
          <w:jc w:val="center"/>
        </w:trPr>
        <w:tc>
          <w:tcPr>
            <w:tcW w:w="143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名称</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一级</w:t>
            </w:r>
          </w:p>
        </w:tc>
        <w:tc>
          <w:tcPr>
            <w:tcW w:w="143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二级</w:t>
            </w:r>
          </w:p>
        </w:tc>
        <w:tc>
          <w:tcPr>
            <w:tcW w:w="216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三级</w:t>
            </w:r>
          </w:p>
        </w:tc>
        <w:tc>
          <w:tcPr>
            <w:tcW w:w="948"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分值</w:t>
            </w:r>
          </w:p>
        </w:tc>
      </w:tr>
      <w:tr>
        <w:tblPrEx>
          <w:tblCellMar>
            <w:top w:w="0" w:type="dxa"/>
            <w:left w:w="108" w:type="dxa"/>
            <w:bottom w:w="0" w:type="dxa"/>
            <w:right w:w="108" w:type="dxa"/>
          </w:tblCellMar>
        </w:tblPrEx>
        <w:trPr>
          <w:trHeight w:val="600" w:hRule="atLeast"/>
          <w:jc w:val="center"/>
        </w:trPr>
        <w:tc>
          <w:tcPr>
            <w:tcW w:w="1432"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绩效指标</w:t>
            </w:r>
          </w:p>
        </w:tc>
        <w:tc>
          <w:tcPr>
            <w:tcW w:w="1432"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产出指标</w:t>
            </w:r>
          </w:p>
        </w:tc>
        <w:tc>
          <w:tcPr>
            <w:tcW w:w="1432" w:type="dxa"/>
            <w:vMerge w:val="restart"/>
            <w:tcBorders>
              <w:top w:val="nil"/>
              <w:left w:val="nil"/>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数量指标</w:t>
            </w: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指标1：课题数量</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30</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left w:val="single" w:color="auto" w:sz="4" w:space="0"/>
              <w:right w:val="single" w:color="auto" w:sz="4" w:space="0"/>
            </w:tcBorders>
            <w:vAlign w:val="center"/>
          </w:tcPr>
          <w:p>
            <w:pPr>
              <w:widowControl/>
              <w:jc w:val="center"/>
              <w:rPr>
                <w:rFonts w:ascii="宋体" w:cs="宋体"/>
                <w:color w:val="000000"/>
                <w:kern w:val="0"/>
                <w:szCs w:val="21"/>
              </w:rPr>
            </w:pPr>
          </w:p>
        </w:tc>
        <w:tc>
          <w:tcPr>
            <w:tcW w:w="1432"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指标2：每个课题进行中期评审</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30</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质量指标</w:t>
            </w:r>
          </w:p>
        </w:tc>
        <w:tc>
          <w:tcPr>
            <w:tcW w:w="216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指标1：专家课题评审合格率</w:t>
            </w:r>
          </w:p>
        </w:tc>
        <w:tc>
          <w:tcPr>
            <w:tcW w:w="94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0</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时效指标</w:t>
            </w:r>
          </w:p>
        </w:tc>
        <w:tc>
          <w:tcPr>
            <w:tcW w:w="216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94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成本指标</w:t>
            </w: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center"/>
              <w:rPr>
                <w:rFonts w:ascii="宋体" w:cs="宋体"/>
                <w:color w:val="000000"/>
                <w:kern w:val="0"/>
                <w:szCs w:val="21"/>
              </w:rPr>
            </w:pPr>
          </w:p>
        </w:tc>
        <w:tc>
          <w:tcPr>
            <w:tcW w:w="1432"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效益指标</w:t>
            </w: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经济效益指标</w:t>
            </w: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left w:val="single" w:color="auto" w:sz="4" w:space="0"/>
              <w:right w:val="single" w:color="auto" w:sz="4" w:space="0"/>
            </w:tcBorders>
            <w:vAlign w:val="center"/>
          </w:tcPr>
          <w:p>
            <w:pPr>
              <w:widowControl/>
              <w:jc w:val="center"/>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社会效益指标</w:t>
            </w: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center"/>
              <w:rPr>
                <w:rFonts w:ascii="宋体" w:hAnsi="宋体" w:cs="宋体"/>
                <w:color w:val="000000"/>
                <w:kern w:val="0"/>
                <w:szCs w:val="21"/>
              </w:rPr>
            </w:pPr>
          </w:p>
        </w:tc>
        <w:tc>
          <w:tcPr>
            <w:tcW w:w="1432" w:type="dxa"/>
            <w:vMerge w:val="continue"/>
            <w:tcBorders>
              <w:left w:val="single" w:color="auto" w:sz="4" w:space="0"/>
              <w:right w:val="single" w:color="auto" w:sz="4" w:space="0"/>
            </w:tcBorders>
            <w:vAlign w:val="center"/>
          </w:tcPr>
          <w:p>
            <w:pPr>
              <w:widowControl/>
              <w:jc w:val="center"/>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生态效益指标</w:t>
            </w: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right w:val="single" w:color="auto" w:sz="4" w:space="0"/>
            </w:tcBorders>
          </w:tcPr>
          <w:p>
            <w:pPr>
              <w:widowControl/>
              <w:jc w:val="left"/>
              <w:rPr>
                <w:rFonts w:ascii="宋体" w:cs="宋体"/>
                <w:color w:val="000000"/>
                <w:kern w:val="0"/>
                <w:szCs w:val="21"/>
              </w:rPr>
            </w:pPr>
          </w:p>
        </w:tc>
        <w:tc>
          <w:tcPr>
            <w:tcW w:w="1432" w:type="dxa"/>
            <w:vMerge w:val="continue"/>
            <w:tcBorders>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可持续影响指标</w:t>
            </w: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left w:val="single" w:color="auto" w:sz="4" w:space="0"/>
              <w:bottom w:val="single" w:color="000000" w:sz="4" w:space="0"/>
              <w:right w:val="single" w:color="auto" w:sz="4" w:space="0"/>
            </w:tcBorders>
          </w:tcPr>
          <w:p>
            <w:pPr>
              <w:widowControl/>
              <w:jc w:val="left"/>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r>
              <w:rPr>
                <w:rFonts w:hint="eastAsia" w:ascii="宋体" w:cs="宋体"/>
                <w:color w:val="000000"/>
                <w:kern w:val="0"/>
                <w:szCs w:val="21"/>
              </w:rPr>
              <w:t>满意度指标</w:t>
            </w: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服务对象满意度指标</w:t>
            </w:r>
          </w:p>
        </w:tc>
        <w:tc>
          <w:tcPr>
            <w:tcW w:w="2161"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c>
          <w:tcPr>
            <w:tcW w:w="948"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r>
    </w:tbl>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（3）评价方法</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采取资料收集、数据统计、座谈研讨、民主评议等方式，</w:t>
      </w:r>
    </w:p>
    <w:p>
      <w:pPr>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对照绩效指标进行评价。</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（三）绩效评价工作过程。</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召开专题会议，明确预算项目资金使用的相关处室，积</w:t>
      </w:r>
    </w:p>
    <w:p>
      <w:pPr>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极配合绩效评价工作，指定财务人员具体协调相关人员，对</w:t>
      </w:r>
    </w:p>
    <w:p>
      <w:pPr>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所使用的财政性资金使用过程、使用效益等开展全面评价。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经综合评价，市级法学课题研究项目9</w:t>
      </w:r>
      <w:r>
        <w:rPr>
          <w:rFonts w:ascii="黑体" w:hAnsi="黑体" w:eastAsia="黑体" w:cs="黑体"/>
          <w:sz w:val="32"/>
          <w:szCs w:val="32"/>
        </w:rPr>
        <w:t>3.5</w:t>
      </w:r>
      <w:r>
        <w:rPr>
          <w:rFonts w:hint="eastAsia" w:ascii="黑体" w:hAnsi="黑体" w:eastAsia="黑体" w:cs="黑体"/>
          <w:sz w:val="32"/>
          <w:szCs w:val="32"/>
        </w:rPr>
        <w:t>分，等级为优。评分表见附表。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市级法学课题研究为连续性项目，项目立项符合单位和市法学会的职能，符合社会主义法治建设需要。项目立项过程符合市财政、市法学会的规定。</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项目组织机构健全，各机构间运转协调，工作有效；项目成员分工明确，责任划分清晰。</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与项目执行相关的制度建立较为健全。市法学会已经完成内部控制体系建设，并单独对法学研究工作经费项目支出制定了《北京市法学会市级法学研究课题管理办法》。法学研究工作经费项目资金按照北京市财政局、市法学会内控制度课题管理办法相关规定支出使用，执行较为规范。</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（三）项目产出情况。</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组织法学研究年度课题工作。坚持围绕中心、服务大局，立足于理论创新与法治实践紧密结合，形成课题指南，每年确定立项重点课题10个、一般课题20个、青年课题10个；9月，完成了2021年度课题结项工作。</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（四）项目效益情况。</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强化学会班子成员及局级领导作为重点课题负责人的牵引作用，强化成果应用转化，其中1项成果获得省部级及以上领导肯定批示，4项课题成果实务部门出具成果转化证明，积极服务法治实践。</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五、主要经验及做法、存在的问题及原因分析</w:t>
      </w:r>
    </w:p>
    <w:p>
      <w:pPr>
        <w:spacing w:line="60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w:t>
      </w:r>
      <w:r>
        <w:rPr>
          <w:rFonts w:hint="eastAsia" w:ascii="楷体_GB2312" w:hAnsi="楷体_GB2312" w:eastAsia="楷体_GB2312" w:cs="楷体_GB2312"/>
          <w:sz w:val="32"/>
          <w:szCs w:val="32"/>
        </w:rPr>
        <w:t>一）主要经验做法。高度重视，增强财务人员预算绩效意识，坚持先有预算后有支出，没有预算不支出。科学精准编报，细化预算支出，坚持专款专用，改进项目资金执行措施，保证项目执行进度。严格纪律，加强专项资金财务管理，及时发现并纠正预算执行与预算目标之间存在的差距，切实提高资金使用效益。</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（二）存在问题及原因分析。资金额度偏小，绩效目标设置难以更加细化，部分指标设置不够合理，项目预期绩效不够突出。项目效益指标设置缺乏量化标准。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六、有关建议</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建议财政部门加强对预算绩效评价工作指导，推动绩效评价、绩效公开工作更加规范高效。</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加强项目绩效资料的收集，充分展示项目实施的效益效果。</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七、其他需要说明的问题</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无。</w:t>
      </w:r>
    </w:p>
    <w:p>
      <w:pPr>
        <w:sectPr>
          <w:footerReference r:id="rId3" w:type="default"/>
          <w:pgSz w:w="11906" w:h="16838"/>
          <w:pgMar w:top="1440" w:right="1800" w:bottom="1440" w:left="1800" w:header="851" w:footer="992" w:gutter="0"/>
          <w:cols w:space="425" w:num="1"/>
          <w:docGrid w:type="lines" w:linePitch="312" w:charSpace="0"/>
        </w:sect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209"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00"/>
        <w:gridCol w:w="818"/>
        <w:gridCol w:w="709"/>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49"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市级法学课题研究</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北京市法学会</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北京市法学会（本级）</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肖然</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67634590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04.5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04.5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9.52%</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04.5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04.5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9.52%</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5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市法学会作为学术团体，发挥建言献策作用。通过设立课题，动员专家学者承担研究任务，贡献聪明智慧，形成研究成果，服务领导决策和法治实践。市级法学课题研究是经市委政法委批准的项目，以问题为导向，研究破解本市法治建设的重点、难点问题，服务全市法治建设。每年立项重点课题10个，一般课题20个，青年课题10个。在广泛征求选提建议的基础上，形成课题指南，经过市委政法委批准，通过政府购买服务方式确定课题主持人，完成研究任务。</w:t>
            </w:r>
          </w:p>
        </w:tc>
        <w:tc>
          <w:tcPr>
            <w:tcW w:w="355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指标1：课题数量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40</w:t>
            </w:r>
            <w:r>
              <w:rPr>
                <w:rFonts w:hint="eastAsia" w:ascii="仿宋_GB2312" w:hAnsi="宋体" w:eastAsia="仿宋_GB2312" w:cs="宋体"/>
                <w:kern w:val="0"/>
                <w:szCs w:val="21"/>
              </w:rPr>
              <w:t>项</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w:t>
            </w: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指标设置不合理</w:t>
            </w: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指标2：每个课题进行中期评审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1</w:t>
            </w:r>
            <w:r>
              <w:rPr>
                <w:rFonts w:hint="eastAsia" w:ascii="仿宋_GB2312" w:hAnsi="宋体" w:eastAsia="仿宋_GB2312" w:cs="宋体"/>
                <w:kern w:val="0"/>
                <w:szCs w:val="21"/>
              </w:rPr>
              <w:t>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w:t>
            </w: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p>
        </w:tc>
        <w:tc>
          <w:tcPr>
            <w:tcW w:w="1527" w:type="dxa"/>
            <w:gridSpan w:val="2"/>
            <w:tcBorders>
              <w:top w:val="single" w:color="auto" w:sz="4" w:space="0"/>
              <w:left w:val="nil"/>
              <w:bottom w:val="single" w:color="auto" w:sz="4" w:space="0"/>
              <w:right w:val="single" w:color="auto" w:sz="4" w:space="0"/>
            </w:tcBorders>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指标设置不合理</w:t>
            </w: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指标1：专家课题评审合格率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w:t>
            </w: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p>
        </w:tc>
        <w:tc>
          <w:tcPr>
            <w:tcW w:w="1527" w:type="dxa"/>
            <w:gridSpan w:val="2"/>
            <w:tcBorders>
              <w:top w:val="single" w:color="auto" w:sz="4" w:space="0"/>
              <w:left w:val="nil"/>
              <w:bottom w:val="single" w:color="auto" w:sz="4" w:space="0"/>
              <w:right w:val="single" w:color="auto" w:sz="4" w:space="0"/>
            </w:tcBorders>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指标设置不合理</w:t>
            </w: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3.5</w:t>
            </w:r>
          </w:p>
        </w:tc>
        <w:tc>
          <w:tcPr>
            <w:tcW w:w="15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填报注意事项：</w:t>
      </w:r>
    </w:p>
    <w:p>
      <w:pPr>
        <w:widowControl/>
        <w:spacing w:line="52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1.得分一档最高不能超过该指标分值上限。</w:t>
      </w:r>
    </w:p>
    <w:p>
      <w:pPr>
        <w:widowControl/>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pPr>
        <w:spacing w:line="52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3.请在“偏差原因分析及改进措施”中说明偏离目标、不能完成目标的原因及拟采取的措施。</w:t>
      </w:r>
    </w:p>
    <w:p>
      <w:pPr>
        <w:spacing w:line="52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4.90（含）-100分为优、80（含）-90分为良、60（含）-80分为中、60分以下为差。</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22"/>
    <w:rsid w:val="00066B8B"/>
    <w:rsid w:val="00113F4B"/>
    <w:rsid w:val="00121000"/>
    <w:rsid w:val="001D64D2"/>
    <w:rsid w:val="001E3B37"/>
    <w:rsid w:val="001F3534"/>
    <w:rsid w:val="00272F3A"/>
    <w:rsid w:val="002B6C4B"/>
    <w:rsid w:val="00344E83"/>
    <w:rsid w:val="003529DB"/>
    <w:rsid w:val="00367A4C"/>
    <w:rsid w:val="003B4690"/>
    <w:rsid w:val="004274DF"/>
    <w:rsid w:val="0043397D"/>
    <w:rsid w:val="00433C43"/>
    <w:rsid w:val="00446BE0"/>
    <w:rsid w:val="004C33A3"/>
    <w:rsid w:val="005075A7"/>
    <w:rsid w:val="00512196"/>
    <w:rsid w:val="00592452"/>
    <w:rsid w:val="005C0706"/>
    <w:rsid w:val="005C65D8"/>
    <w:rsid w:val="005E2CE1"/>
    <w:rsid w:val="006B105A"/>
    <w:rsid w:val="007E1D4D"/>
    <w:rsid w:val="00834901"/>
    <w:rsid w:val="008B2A36"/>
    <w:rsid w:val="00935978"/>
    <w:rsid w:val="00943F7C"/>
    <w:rsid w:val="00BE38B8"/>
    <w:rsid w:val="00C44669"/>
    <w:rsid w:val="00C5522D"/>
    <w:rsid w:val="00C65AC2"/>
    <w:rsid w:val="00C84F35"/>
    <w:rsid w:val="00CA53C7"/>
    <w:rsid w:val="00DE0F62"/>
    <w:rsid w:val="00DF4266"/>
    <w:rsid w:val="00EB2671"/>
    <w:rsid w:val="00EC71CF"/>
    <w:rsid w:val="00F53D19"/>
    <w:rsid w:val="00F67F22"/>
    <w:rsid w:val="7DB65C1F"/>
    <w:rsid w:val="DFCF5362"/>
    <w:rsid w:val="E7FD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627</Words>
  <Characters>3579</Characters>
  <Lines>29</Lines>
  <Paragraphs>8</Paragraphs>
  <TotalTime>25</TotalTime>
  <ScaleCrop>false</ScaleCrop>
  <LinksUpToDate>false</LinksUpToDate>
  <CharactersWithSpaces>4198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2022-06-01T03:13:00Z</dcterms:created>
  <dc:creator>薇 薛</dc:creator>
  <cp:lastModifiedBy>lenovo</cp:lastModifiedBy>
  <cp:lastPrinted>2023-08-25T11:17:58Z</cp:lastPrinted>
  <dcterms:modified xsi:type="dcterms:W3CDTF">2023-08-25T11:18:07Z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