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napToGrid w:val="0"/>
        <w:spacing w:line="560" w:lineRule="atLeast"/>
        <w:ind w:firstLine="722" w:firstLineChars="200"/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snapToGrid w:val="0"/>
        <w:spacing w:line="560" w:lineRule="atLeast"/>
        <w:ind w:firstLine="722" w:firstLineChars="200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北京市法学会</w:t>
      </w:r>
    </w:p>
    <w:p>
      <w:pPr>
        <w:snapToGrid w:val="0"/>
        <w:spacing w:line="560" w:lineRule="atLeast"/>
        <w:ind w:firstLine="722" w:firstLineChars="200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年市级法学研究课题立项名单</w:t>
      </w:r>
    </w:p>
    <w:p>
      <w:pPr>
        <w:snapToGrid w:val="0"/>
        <w:spacing w:line="560" w:lineRule="atLeast"/>
        <w:ind w:firstLine="642" w:firstLineChars="200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60" w:lineRule="atLeast"/>
        <w:ind w:firstLine="642" w:firstLineChars="200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一、重点课题（10项）</w:t>
      </w:r>
    </w:p>
    <w:bookmarkEnd w:id="0"/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1.习近平法治思想中法治监督体系建设基础理论研究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郭旭升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北京市法学会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旭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中国人民大学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bCs/>
          <w:sz w:val="32"/>
          <w:szCs w:val="32"/>
        </w:rPr>
        <w:t>)A001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2.总体国家安全观视阈下首都安全法治体系建设研究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雷建权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北京市法学会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肖君拥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北京理工大学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bCs/>
          <w:sz w:val="32"/>
          <w:szCs w:val="32"/>
        </w:rPr>
        <w:t>)A00</w:t>
      </w:r>
      <w:r>
        <w:rPr>
          <w:rFonts w:ascii="仿宋" w:hAnsi="仿宋" w:eastAsia="仿宋" w:cs="仿宋"/>
          <w:bCs/>
          <w:sz w:val="32"/>
          <w:szCs w:val="32"/>
        </w:rPr>
        <w:t>2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3.政法工作现代化服务保障中国式现代化的北京实践研究——以行政检察为视角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王桂芳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北京市法学会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彭智刚    北京市人民检察院第二分院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bCs/>
          <w:sz w:val="32"/>
          <w:szCs w:val="32"/>
        </w:rPr>
        <w:t>)A003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4.人民法院为北京“两区”建设提供司法服务保障研究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强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北京市第三中级人民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法院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bCs/>
          <w:sz w:val="32"/>
          <w:szCs w:val="32"/>
        </w:rPr>
        <w:t>)A004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5.数字检察视野下溯源治理研究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朱雅频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北京市人民检察院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bCs/>
          <w:sz w:val="32"/>
          <w:szCs w:val="32"/>
        </w:rPr>
        <w:t>)A00</w:t>
      </w:r>
      <w:r>
        <w:rPr>
          <w:rFonts w:ascii="仿宋" w:hAnsi="仿宋" w:eastAsia="仿宋" w:cs="仿宋"/>
          <w:bCs/>
          <w:sz w:val="32"/>
          <w:szCs w:val="32"/>
        </w:rPr>
        <w:t>5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6.完善刑事执行领域立法研究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郭志媛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立项编号：BLS(2023)A006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7.基层立法联系点制度完善研究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冯玉军    中国人民大学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立项编号：BLS(2023)A007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8.一站式国际商事纠纷多元化解决机制研究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王  丽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北京融商一带一路法律与商事服务中心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立项编号：BLS(2023)A008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数据的知识产权保护研究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曲三强    北京理工大学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立项编号：BLS(2023)A009</w:t>
      </w:r>
    </w:p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.金融领域风险防范的法治保障研究——以涉众型金融案件司法应对与风险防范为视角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陈立如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北京市西城区人民法院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立项编号：BLS(2023)A010</w:t>
      </w:r>
    </w:p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　　二、一般课题（20项）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1.司法裁判中法律解释方法应用研究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马立红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北京市第三中级人民法院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立项编号：BLS(2023)B001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2.行政协议司法审查标准研究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程  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北京市第一中级人民法院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立项编号：BLS(2023)B002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3.首都法院涉诉信访问题处理完善路径研究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邵明艳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北京市海淀区人民法院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立项编号：BLS(2023)B003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4.弘扬和传承中华优秀文化的司法保障问题研究——以公共文化服务数字化为切入点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任雪峰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北京市高级人民法院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立项编号：BLS(2023)B004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5.数字背景下检察公益诉讼发展路径研究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刘飞琴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北京化工大学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立项编号：BLS(2023)B005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6.大数据侦查法律制度完善路径研究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廖  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北京师范大学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立项编号：BLS(2023)B006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7.北京市科技执法规范化研究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李  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首都师范大学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立项编号：BLS(2023)B007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数字经济高质量发展中平台责任的边界——以旅游平台责任为视角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王惠静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北京第二外国语学院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立项编号：BLS(2023)B008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9.数据跨境流动中标准合同制度研究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邢会强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中央财经大学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立项编号：BLS(2023)B009</w:t>
      </w:r>
    </w:p>
    <w:p>
      <w:pPr>
        <w:snapToGrid w:val="0"/>
        <w:spacing w:line="560" w:lineRule="atLeast"/>
        <w:ind w:firstLine="565" w:firstLineChars="176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10.算法安全综合治理体系建构研究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来小鹏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立项编号：BLS(2023)B010</w:t>
      </w:r>
    </w:p>
    <w:p>
      <w:pPr>
        <w:snapToGrid w:val="0"/>
        <w:spacing w:line="560" w:lineRule="atLeast"/>
        <w:ind w:firstLine="565" w:firstLineChars="176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11.网络暴力的规范界定与法律规制路径研究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米铁男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北京邮电大学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立项编号：BLS(2023)B011</w:t>
      </w:r>
    </w:p>
    <w:p>
      <w:pPr>
        <w:snapToGrid w:val="0"/>
        <w:spacing w:line="560" w:lineRule="atLeast"/>
        <w:ind w:firstLine="565" w:firstLineChars="176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12.网约车聚合平台管理制度研究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郑  飞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北京交通大学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立项编号：BLS(2023)B012</w:t>
      </w:r>
    </w:p>
    <w:p>
      <w:pPr>
        <w:snapToGrid w:val="0"/>
        <w:spacing w:line="560" w:lineRule="atLeast"/>
        <w:ind w:firstLine="565" w:firstLineChars="176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13.北京市韧性城市建设法治保障研究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杜  群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北京航空航天大学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立项编号：BLS(2023)B013</w:t>
      </w:r>
    </w:p>
    <w:p>
      <w:pPr>
        <w:snapToGrid w:val="0"/>
        <w:spacing w:line="560" w:lineRule="atLeast"/>
        <w:ind w:firstLine="565" w:firstLineChars="176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14.市域社会治理现代化背景下青少年“帮信”犯罪防控问题研究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张素莲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北京市第二中级人民法院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立项编号：BLS(2023)B014</w:t>
      </w:r>
    </w:p>
    <w:p>
      <w:pPr>
        <w:snapToGrid w:val="0"/>
        <w:spacing w:line="560" w:lineRule="atLeast"/>
        <w:ind w:firstLine="565" w:firstLineChars="176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15.新型家事纠纷综合协调解决模式研究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盛  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北京市西城区人民法院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立项编号：BLS(2023)B015</w:t>
      </w:r>
    </w:p>
    <w:p>
      <w:pPr>
        <w:snapToGrid w:val="0"/>
        <w:spacing w:line="560" w:lineRule="atLeast"/>
        <w:ind w:firstLine="565" w:firstLineChars="176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16.北京市未成年人社区矫正规范化研究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曹兴华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北京中医药大学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立项编号：BLS(2023)B016</w:t>
      </w:r>
    </w:p>
    <w:p>
      <w:pPr>
        <w:snapToGrid w:val="0"/>
        <w:spacing w:line="560" w:lineRule="atLeast"/>
        <w:ind w:firstLine="567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17.健全北京市多主体住房供应法规制度研究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赵秀池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北京市房地产法学会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立项编号：BLS(2023)B017</w:t>
      </w:r>
    </w:p>
    <w:p>
      <w:pPr>
        <w:snapToGrid w:val="0"/>
        <w:spacing w:line="560" w:lineRule="atLeast"/>
        <w:ind w:firstLine="567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18.北京社会养老服务监管法制化研究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张  卿   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立项编号：BLS(2023)B018</w:t>
      </w:r>
    </w:p>
    <w:p>
      <w:pPr>
        <w:numPr>
          <w:ilvl w:val="0"/>
          <w:numId w:val="0"/>
        </w:num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社区物业管理制度完善研究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刘  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中国农业大学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立项编号：BLS(2023)B019</w:t>
      </w:r>
    </w:p>
    <w:p>
      <w:pPr>
        <w:snapToGrid w:val="0"/>
        <w:spacing w:line="560" w:lineRule="atLeast"/>
        <w:ind w:firstLine="567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20.北京市安宁疗护与生前预嘱地方立法研究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王  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立项编号：BLS(2023)B020</w:t>
      </w:r>
    </w:p>
    <w:p>
      <w:pPr>
        <w:snapToGrid w:val="0"/>
        <w:spacing w:line="560" w:lineRule="atLeast"/>
        <w:ind w:firstLine="563" w:firstLineChars="176"/>
        <w:rPr>
          <w:rFonts w:ascii="仿宋" w:hAnsi="仿宋" w:eastAsia="仿宋" w:cs="仿宋"/>
          <w:bCs/>
          <w:sz w:val="32"/>
          <w:szCs w:val="32"/>
        </w:rPr>
      </w:pPr>
    </w:p>
    <w:p>
      <w:pPr>
        <w:snapToGrid w:val="0"/>
        <w:spacing w:line="560" w:lineRule="atLeast"/>
        <w:ind w:firstLine="642" w:firstLineChars="200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三、青年课题（10项）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1.数字经济领域初创企业并购的反垄断规制研究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李希梁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清华大学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立项编号：BLS(2023)C001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2.生成式人工智能的法律风险及防范体系研究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侯跃伟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中国政法大学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立项编号：BLS(2023)C002</w:t>
      </w:r>
    </w:p>
    <w:p>
      <w:pPr>
        <w:snapToGrid w:val="0"/>
        <w:spacing w:line="560" w:lineRule="atLeast"/>
        <w:ind w:firstLine="567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3.人工智能生成物的著作权保护研究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宋春雨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立项编号：BLS(2023)C003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4.刑事司法中网络服务提供者的角色定位与多元义务研究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刘甜甜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中国法学会法治研究所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bCs/>
          <w:sz w:val="32"/>
          <w:szCs w:val="32"/>
        </w:rPr>
        <w:t>)C004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5.大数据背景下银行不良资产的成因分析及处置对策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李怀胜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中国政法大学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立项编号：BLS(2023)C005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6.首都公安电信网络诈骗犯罪外部合力侦防运作机制研究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金飞艳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北京警察学院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立项编号：BLS(2023)C006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7.首都公平竞争审查例外豁免制度优化研究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陈汇臻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首都经济贸易大学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立项编号：BLS(2023)C007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8.北京市行政规范性文件后评估制度研究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崔  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北京工商大学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立项编号：BLS(2023)C008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9.深度数字化时代侵犯公民个人信息行为入罪边界研究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杨  楠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北京理工大学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立项编号：BLS(2023)C009</w:t>
      </w:r>
    </w:p>
    <w:p>
      <w:pPr>
        <w:snapToGrid w:val="0"/>
        <w:spacing w:line="560" w:lineRule="atLeast"/>
        <w:ind w:firstLine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10.破产程序中环境债权的实现路径研究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梁春瑾   北京市破产法学会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立项编号：BLS(2023)C010</w:t>
      </w:r>
    </w:p>
    <w:p>
      <w:pPr>
        <w:snapToGrid w:val="0"/>
        <w:spacing w:line="560" w:lineRule="atLeast"/>
        <w:ind w:firstLine="56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1A166A"/>
    <w:rsid w:val="00011A3F"/>
    <w:rsid w:val="000205BD"/>
    <w:rsid w:val="00020AD6"/>
    <w:rsid w:val="00043921"/>
    <w:rsid w:val="000D5E07"/>
    <w:rsid w:val="001336BF"/>
    <w:rsid w:val="0014013A"/>
    <w:rsid w:val="00192303"/>
    <w:rsid w:val="001E12BD"/>
    <w:rsid w:val="001E6D9E"/>
    <w:rsid w:val="001F21DB"/>
    <w:rsid w:val="001F6A68"/>
    <w:rsid w:val="00254B3B"/>
    <w:rsid w:val="0026251F"/>
    <w:rsid w:val="002672E1"/>
    <w:rsid w:val="00281C6D"/>
    <w:rsid w:val="002A3DF8"/>
    <w:rsid w:val="002A4D7B"/>
    <w:rsid w:val="002B29D1"/>
    <w:rsid w:val="002E5957"/>
    <w:rsid w:val="003258B8"/>
    <w:rsid w:val="0033600D"/>
    <w:rsid w:val="003678E6"/>
    <w:rsid w:val="003775B6"/>
    <w:rsid w:val="003C6B71"/>
    <w:rsid w:val="003D380E"/>
    <w:rsid w:val="003E054F"/>
    <w:rsid w:val="003F62E0"/>
    <w:rsid w:val="00413DCC"/>
    <w:rsid w:val="00460CE5"/>
    <w:rsid w:val="0056152C"/>
    <w:rsid w:val="0059039F"/>
    <w:rsid w:val="005A5B06"/>
    <w:rsid w:val="005C1C87"/>
    <w:rsid w:val="005E5829"/>
    <w:rsid w:val="00603471"/>
    <w:rsid w:val="00615563"/>
    <w:rsid w:val="006B5257"/>
    <w:rsid w:val="006D008B"/>
    <w:rsid w:val="006E2105"/>
    <w:rsid w:val="006F50B1"/>
    <w:rsid w:val="00747B3A"/>
    <w:rsid w:val="007D615D"/>
    <w:rsid w:val="007E339D"/>
    <w:rsid w:val="00811AA4"/>
    <w:rsid w:val="0082220A"/>
    <w:rsid w:val="00837121"/>
    <w:rsid w:val="00871FE3"/>
    <w:rsid w:val="008C4557"/>
    <w:rsid w:val="00902E8C"/>
    <w:rsid w:val="00986B67"/>
    <w:rsid w:val="009C4631"/>
    <w:rsid w:val="009D1A71"/>
    <w:rsid w:val="009D322D"/>
    <w:rsid w:val="00A12EE8"/>
    <w:rsid w:val="00A41B1A"/>
    <w:rsid w:val="00A65FC7"/>
    <w:rsid w:val="00A81BF6"/>
    <w:rsid w:val="00A9780E"/>
    <w:rsid w:val="00AA2BF8"/>
    <w:rsid w:val="00AF171A"/>
    <w:rsid w:val="00AF5762"/>
    <w:rsid w:val="00B05EC9"/>
    <w:rsid w:val="00B531C9"/>
    <w:rsid w:val="00B55566"/>
    <w:rsid w:val="00B602F8"/>
    <w:rsid w:val="00B7657B"/>
    <w:rsid w:val="00BB0C5A"/>
    <w:rsid w:val="00C04EC2"/>
    <w:rsid w:val="00C07F03"/>
    <w:rsid w:val="00C103CA"/>
    <w:rsid w:val="00C679EB"/>
    <w:rsid w:val="00C734CA"/>
    <w:rsid w:val="00C924BF"/>
    <w:rsid w:val="00CA0862"/>
    <w:rsid w:val="00CA175E"/>
    <w:rsid w:val="00CD7FFB"/>
    <w:rsid w:val="00CE6B10"/>
    <w:rsid w:val="00D20FFB"/>
    <w:rsid w:val="00D97B37"/>
    <w:rsid w:val="00DC7B4E"/>
    <w:rsid w:val="00DD1FC3"/>
    <w:rsid w:val="00DE79D0"/>
    <w:rsid w:val="00DF2E85"/>
    <w:rsid w:val="00DF4C88"/>
    <w:rsid w:val="00DF5880"/>
    <w:rsid w:val="00DF63D7"/>
    <w:rsid w:val="00E27136"/>
    <w:rsid w:val="00E4082F"/>
    <w:rsid w:val="00E573E9"/>
    <w:rsid w:val="00E754B8"/>
    <w:rsid w:val="00E945B2"/>
    <w:rsid w:val="00EB4F39"/>
    <w:rsid w:val="00EE1F2A"/>
    <w:rsid w:val="00EF3039"/>
    <w:rsid w:val="00F075DD"/>
    <w:rsid w:val="00F10266"/>
    <w:rsid w:val="00F216BC"/>
    <w:rsid w:val="00F27DF8"/>
    <w:rsid w:val="00F42821"/>
    <w:rsid w:val="00F42C4E"/>
    <w:rsid w:val="00F4500A"/>
    <w:rsid w:val="00F54135"/>
    <w:rsid w:val="00F8442F"/>
    <w:rsid w:val="00F97EBE"/>
    <w:rsid w:val="00FB3CC3"/>
    <w:rsid w:val="00FF2601"/>
    <w:rsid w:val="08352B27"/>
    <w:rsid w:val="0A7835CD"/>
    <w:rsid w:val="1E1A166A"/>
    <w:rsid w:val="26CE3DC5"/>
    <w:rsid w:val="29893E67"/>
    <w:rsid w:val="46166AC9"/>
    <w:rsid w:val="467B41D2"/>
    <w:rsid w:val="540A0958"/>
    <w:rsid w:val="57164414"/>
    <w:rsid w:val="59F5B5CF"/>
    <w:rsid w:val="5DE706FE"/>
    <w:rsid w:val="6C2134E3"/>
    <w:rsid w:val="6DFB2911"/>
    <w:rsid w:val="A3F237EC"/>
    <w:rsid w:val="E6B577EF"/>
    <w:rsid w:val="FAFBE1A9"/>
    <w:rsid w:val="FEED7E55"/>
    <w:rsid w:val="FF86E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1672</Words>
  <Characters>1060</Characters>
  <Lines>8</Lines>
  <Paragraphs>5</Paragraphs>
  <TotalTime>23</TotalTime>
  <ScaleCrop>false</ScaleCrop>
  <LinksUpToDate>false</LinksUpToDate>
  <CharactersWithSpaces>2727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2022-07-02T23:18:00Z</dcterms:created>
  <dc:creator>user</dc:creator>
  <cp:lastModifiedBy>lenovo</cp:lastModifiedBy>
  <cp:lastPrinted>2023-06-27T09:59:43Z</cp:lastPrinted>
  <dcterms:modified xsi:type="dcterms:W3CDTF">2023-06-27T14:16:54Z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