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2F" w:rsidRDefault="00B531C9">
      <w:pPr>
        <w:snapToGrid w:val="0"/>
        <w:spacing w:line="560" w:lineRule="atLeas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E4082F" w:rsidRDefault="00B531C9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北京市法学会</w:t>
      </w:r>
    </w:p>
    <w:p w:rsidR="00E4082F" w:rsidRDefault="00AA2BF8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年市级法学研究课题</w:t>
      </w:r>
      <w:r w:rsidR="00E126E5">
        <w:rPr>
          <w:rFonts w:ascii="黑体" w:eastAsia="黑体" w:hAnsi="黑体" w:cs="黑体" w:hint="eastAsia"/>
          <w:b/>
          <w:bCs/>
          <w:sz w:val="36"/>
          <w:szCs w:val="36"/>
        </w:rPr>
        <w:t>补充</w:t>
      </w:r>
      <w:r w:rsidR="00B531C9">
        <w:rPr>
          <w:rFonts w:ascii="黑体" w:eastAsia="黑体" w:hAnsi="黑体" w:cs="黑体" w:hint="eastAsia"/>
          <w:b/>
          <w:bCs/>
          <w:sz w:val="36"/>
          <w:szCs w:val="36"/>
        </w:rPr>
        <w:t>立项名单</w:t>
      </w:r>
    </w:p>
    <w:p w:rsidR="00E4082F" w:rsidRDefault="00B531C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</w:t>
      </w:r>
      <w:r w:rsidR="00E126E5">
        <w:rPr>
          <w:rFonts w:ascii="仿宋" w:eastAsia="仿宋" w:hAnsi="仿宋" w:cs="仿宋" w:hint="eastAsia"/>
          <w:b/>
          <w:bCs/>
          <w:sz w:val="32"/>
          <w:szCs w:val="32"/>
        </w:rPr>
        <w:t>一般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课题（</w:t>
      </w:r>
      <w:r w:rsidR="00E126E5">
        <w:rPr>
          <w:rFonts w:ascii="仿宋" w:eastAsia="仿宋" w:hAnsi="仿宋" w:cs="仿宋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E126E5">
        <w:rPr>
          <w:rFonts w:ascii="仿宋" w:eastAsia="仿宋" w:hAnsi="仿宋" w:cs="仿宋"/>
          <w:b/>
          <w:bCs/>
          <w:sz w:val="32"/>
          <w:szCs w:val="32"/>
        </w:rPr>
        <w:t>5</w:t>
      </w: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、公共法律服务有效衔接12345接诉即办的研究</w:t>
      </w:r>
      <w:r w:rsid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周睿志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北方工业大学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603471">
        <w:rPr>
          <w:rFonts w:ascii="仿宋" w:eastAsia="仿宋" w:hAnsi="仿宋" w:cs="仿宋" w:hint="eastAsia"/>
          <w:bCs/>
          <w:sz w:val="32"/>
          <w:szCs w:val="32"/>
        </w:rPr>
        <w:t>立项编号：BLS(</w:t>
      </w:r>
      <w:r>
        <w:rPr>
          <w:rFonts w:ascii="仿宋" w:eastAsia="仿宋" w:hAnsi="仿宋" w:cs="仿宋" w:hint="eastAsia"/>
          <w:bCs/>
          <w:sz w:val="32"/>
          <w:szCs w:val="32"/>
        </w:rPr>
        <w:t>2021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603471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15</w:t>
      </w:r>
    </w:p>
    <w:p w:rsidR="00856D47" w:rsidRPr="00856D47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16</w:t>
      </w:r>
      <w:r w:rsidR="00856D47" w:rsidRPr="00856D47">
        <w:rPr>
          <w:rFonts w:ascii="仿宋" w:eastAsia="仿宋" w:hAnsi="仿宋" w:cs="仿宋" w:hint="eastAsia"/>
          <w:b/>
          <w:bCs/>
          <w:sz w:val="32"/>
          <w:szCs w:val="32"/>
        </w:rPr>
        <w:t>、《北京市物业管理条例》实施情况研究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谢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琳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 xml:space="preserve"> 北方工业大学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立项编号：BLS(2021)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16</w:t>
      </w:r>
    </w:p>
    <w:p w:rsidR="00856D47" w:rsidRPr="00856D47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17</w:t>
      </w:r>
      <w:r w:rsidR="00856D47" w:rsidRPr="00856D47">
        <w:rPr>
          <w:rFonts w:ascii="仿宋" w:eastAsia="仿宋" w:hAnsi="仿宋" w:cs="仿宋" w:hint="eastAsia"/>
          <w:b/>
          <w:bCs/>
          <w:sz w:val="32"/>
          <w:szCs w:val="32"/>
        </w:rPr>
        <w:t>、关于运用信息化技术进一步提升城市精细化管理水平的研究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吴莉婧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北方工业大学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立项编号：BLS(2021)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17</w:t>
      </w:r>
    </w:p>
    <w:p w:rsidR="00856D47" w:rsidRPr="00856D47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18</w:t>
      </w:r>
      <w:r w:rsidR="00856D47" w:rsidRPr="00856D47">
        <w:rPr>
          <w:rFonts w:ascii="仿宋" w:eastAsia="仿宋" w:hAnsi="仿宋" w:cs="仿宋" w:hint="eastAsia"/>
          <w:b/>
          <w:bCs/>
          <w:sz w:val="32"/>
          <w:szCs w:val="32"/>
        </w:rPr>
        <w:t>、城乡社区治理制度规范体系建设和提升基层治理能力研究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邓菁菁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北京市第三中级人民法院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立项编号：BLS(2021)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18</w:t>
      </w:r>
    </w:p>
    <w:p w:rsidR="00856D47" w:rsidRPr="00856D47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19</w:t>
      </w:r>
      <w:r w:rsidR="00856D47" w:rsidRPr="00856D47">
        <w:rPr>
          <w:rFonts w:ascii="仿宋" w:eastAsia="仿宋" w:hAnsi="仿宋" w:cs="仿宋" w:hint="eastAsia"/>
          <w:b/>
          <w:bCs/>
          <w:sz w:val="32"/>
          <w:szCs w:val="32"/>
        </w:rPr>
        <w:t>、首都文化娱乐产业商事习惯研究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刘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毅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北京理工大学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立项编号：BLS(2021)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19</w:t>
      </w:r>
    </w:p>
    <w:p w:rsidR="00856D47" w:rsidRPr="00856D47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856D47" w:rsidRPr="00856D47">
        <w:rPr>
          <w:rFonts w:ascii="仿宋" w:eastAsia="仿宋" w:hAnsi="仿宋" w:cs="仿宋" w:hint="eastAsia"/>
          <w:b/>
          <w:bCs/>
          <w:sz w:val="32"/>
          <w:szCs w:val="32"/>
        </w:rPr>
        <w:t>民事诉讼法与民法典实施配套研究</w:t>
      </w:r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张钢成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北京市海淀区人民法院</w:t>
      </w:r>
    </w:p>
    <w:p w:rsid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lastRenderedPageBreak/>
        <w:t>立项编号：BLS(2021)</w:t>
      </w:r>
      <w:r w:rsidR="00E126E5">
        <w:rPr>
          <w:rFonts w:ascii="仿宋" w:eastAsia="仿宋" w:hAnsi="仿宋" w:cs="仿宋" w:hint="eastAsia"/>
          <w:bCs/>
          <w:sz w:val="32"/>
          <w:szCs w:val="32"/>
        </w:rPr>
        <w:t>B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</w:t>
      </w:r>
      <w:r w:rsidR="00E126E5">
        <w:rPr>
          <w:rFonts w:ascii="仿宋" w:eastAsia="仿宋" w:hAnsi="仿宋" w:cs="仿宋"/>
          <w:bCs/>
          <w:sz w:val="32"/>
          <w:szCs w:val="32"/>
        </w:rPr>
        <w:t>20</w:t>
      </w:r>
    </w:p>
    <w:p w:rsidR="00E126E5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</w:p>
    <w:p w:rsidR="00E126E5" w:rsidRPr="00E126E5" w:rsidRDefault="00E126E5" w:rsidP="00856D47">
      <w:pPr>
        <w:snapToGrid w:val="0"/>
        <w:spacing w:line="560" w:lineRule="atLeast"/>
        <w:ind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GoBack"/>
      <w:bookmarkEnd w:id="0"/>
      <w:r w:rsidRPr="00E126E5"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 w:rsidRPr="00E126E5">
        <w:rPr>
          <w:rFonts w:ascii="仿宋" w:eastAsia="仿宋" w:hAnsi="仿宋" w:cs="仿宋"/>
          <w:b/>
          <w:bCs/>
          <w:sz w:val="32"/>
          <w:szCs w:val="32"/>
        </w:rPr>
        <w:t>委托课题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/>
          <w:bCs/>
          <w:sz w:val="32"/>
          <w:szCs w:val="32"/>
        </w:rPr>
        <w:t>法学期刊学术评价体系研究</w:t>
      </w:r>
      <w:r w:rsidR="00E126E5">
        <w:rPr>
          <w:rFonts w:ascii="仿宋" w:eastAsia="仿宋" w:hAnsi="仿宋" w:cs="仿宋" w:hint="eastAsia"/>
          <w:b/>
          <w:bCs/>
          <w:sz w:val="32"/>
          <w:szCs w:val="32"/>
        </w:rPr>
        <w:t>（委托）</w:t>
      </w:r>
    </w:p>
    <w:p w:rsidR="00856D47" w:rsidRPr="00856D47" w:rsidRDefault="00856D47" w:rsidP="00856D47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李晓安</w:t>
      </w:r>
      <w:r w:rsidRPr="00856D47">
        <w:rPr>
          <w:rFonts w:ascii="仿宋" w:eastAsia="仿宋" w:hAnsi="仿宋" w:cs="仿宋"/>
          <w:bCs/>
          <w:sz w:val="32"/>
          <w:szCs w:val="32"/>
        </w:rPr>
        <w:tab/>
        <w:t xml:space="preserve">   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首都经济贸易大学</w:t>
      </w:r>
    </w:p>
    <w:p w:rsidR="00856D47" w:rsidRDefault="00856D47" w:rsidP="002B29D1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856D47">
        <w:rPr>
          <w:rFonts w:ascii="仿宋" w:eastAsia="仿宋" w:hAnsi="仿宋" w:cs="仿宋" w:hint="eastAsia"/>
          <w:bCs/>
          <w:sz w:val="32"/>
          <w:szCs w:val="32"/>
        </w:rPr>
        <w:t>立项编号：BLS(2021)</w:t>
      </w:r>
      <w:r w:rsidR="00E126E5">
        <w:rPr>
          <w:rFonts w:ascii="仿宋" w:eastAsia="仿宋" w:hAnsi="仿宋" w:cs="仿宋"/>
          <w:bCs/>
          <w:sz w:val="32"/>
          <w:szCs w:val="32"/>
        </w:rPr>
        <w:t>D</w:t>
      </w:r>
      <w:r w:rsidRPr="00856D47">
        <w:rPr>
          <w:rFonts w:ascii="仿宋" w:eastAsia="仿宋" w:hAnsi="仿宋" w:cs="仿宋" w:hint="eastAsia"/>
          <w:bCs/>
          <w:sz w:val="32"/>
          <w:szCs w:val="32"/>
        </w:rPr>
        <w:t>00</w:t>
      </w:r>
      <w:r w:rsidR="00E126E5">
        <w:rPr>
          <w:rFonts w:ascii="仿宋" w:eastAsia="仿宋" w:hAnsi="仿宋" w:cs="仿宋"/>
          <w:bCs/>
          <w:sz w:val="32"/>
          <w:szCs w:val="32"/>
        </w:rPr>
        <w:t>1</w:t>
      </w:r>
    </w:p>
    <w:sectPr w:rsidR="00856D47" w:rsidSect="00E1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89" w:rsidRDefault="00CA7E89" w:rsidP="007D615D">
      <w:r>
        <w:separator/>
      </w:r>
    </w:p>
  </w:endnote>
  <w:endnote w:type="continuationSeparator" w:id="0">
    <w:p w:rsidR="00CA7E89" w:rsidRDefault="00CA7E89" w:rsidP="007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89" w:rsidRDefault="00CA7E89" w:rsidP="007D615D">
      <w:r>
        <w:separator/>
      </w:r>
    </w:p>
  </w:footnote>
  <w:footnote w:type="continuationSeparator" w:id="0">
    <w:p w:rsidR="00CA7E89" w:rsidRDefault="00CA7E89" w:rsidP="007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9EAF"/>
    <w:multiLevelType w:val="singleLevel"/>
    <w:tmpl w:val="597A9EAF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C60"/>
    <w:rsid w:val="00020AD6"/>
    <w:rsid w:val="00043921"/>
    <w:rsid w:val="0014013A"/>
    <w:rsid w:val="00192303"/>
    <w:rsid w:val="001E12BD"/>
    <w:rsid w:val="001E6D9E"/>
    <w:rsid w:val="001F21DB"/>
    <w:rsid w:val="001F6A68"/>
    <w:rsid w:val="00254B3B"/>
    <w:rsid w:val="0026251F"/>
    <w:rsid w:val="00281C6D"/>
    <w:rsid w:val="002A3DF8"/>
    <w:rsid w:val="002A4D7B"/>
    <w:rsid w:val="002B29D1"/>
    <w:rsid w:val="003258B8"/>
    <w:rsid w:val="0033600D"/>
    <w:rsid w:val="003C6B71"/>
    <w:rsid w:val="003E054F"/>
    <w:rsid w:val="003F62E0"/>
    <w:rsid w:val="00413CA1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D008B"/>
    <w:rsid w:val="006E2105"/>
    <w:rsid w:val="006F50B1"/>
    <w:rsid w:val="00747B3A"/>
    <w:rsid w:val="007A5448"/>
    <w:rsid w:val="007D615D"/>
    <w:rsid w:val="007E339D"/>
    <w:rsid w:val="00811AA4"/>
    <w:rsid w:val="00816DD6"/>
    <w:rsid w:val="0082220A"/>
    <w:rsid w:val="00837121"/>
    <w:rsid w:val="00856D47"/>
    <w:rsid w:val="00902E8C"/>
    <w:rsid w:val="00986B67"/>
    <w:rsid w:val="009C4631"/>
    <w:rsid w:val="009D322D"/>
    <w:rsid w:val="00A12EE8"/>
    <w:rsid w:val="00A41B1A"/>
    <w:rsid w:val="00A9780E"/>
    <w:rsid w:val="00AA2BF8"/>
    <w:rsid w:val="00AF171A"/>
    <w:rsid w:val="00AF5762"/>
    <w:rsid w:val="00B05EC9"/>
    <w:rsid w:val="00B531C9"/>
    <w:rsid w:val="00B7657B"/>
    <w:rsid w:val="00BB0C5A"/>
    <w:rsid w:val="00C04EC2"/>
    <w:rsid w:val="00C103CA"/>
    <w:rsid w:val="00CA175E"/>
    <w:rsid w:val="00CA7E89"/>
    <w:rsid w:val="00CD7FFB"/>
    <w:rsid w:val="00CE6B10"/>
    <w:rsid w:val="00D20FFB"/>
    <w:rsid w:val="00D600FB"/>
    <w:rsid w:val="00D97B37"/>
    <w:rsid w:val="00DC7B4E"/>
    <w:rsid w:val="00DD1FC3"/>
    <w:rsid w:val="00DE79D0"/>
    <w:rsid w:val="00DF2E85"/>
    <w:rsid w:val="00DF4C88"/>
    <w:rsid w:val="00DF5880"/>
    <w:rsid w:val="00DF63D7"/>
    <w:rsid w:val="00E126E5"/>
    <w:rsid w:val="00E27136"/>
    <w:rsid w:val="00E4082F"/>
    <w:rsid w:val="00E945B2"/>
    <w:rsid w:val="00EB4F39"/>
    <w:rsid w:val="00EF3039"/>
    <w:rsid w:val="00F075DD"/>
    <w:rsid w:val="00F216BC"/>
    <w:rsid w:val="00F27DF8"/>
    <w:rsid w:val="00F42821"/>
    <w:rsid w:val="00F42C4E"/>
    <w:rsid w:val="00F4500A"/>
    <w:rsid w:val="00F54135"/>
    <w:rsid w:val="00F97EBE"/>
    <w:rsid w:val="00FB3CC3"/>
    <w:rsid w:val="00FE4401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DE706FE"/>
    <w:rsid w:val="6C2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4BEF4"/>
  <w15:docId w15:val="{0690927C-44F7-42F9-9980-A48022E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12EE8"/>
    <w:pPr>
      <w:ind w:firstLineChars="200" w:firstLine="420"/>
    </w:pPr>
  </w:style>
  <w:style w:type="paragraph" w:styleId="a4">
    <w:name w:val="header"/>
    <w:basedOn w:val="a"/>
    <w:link w:val="a5"/>
    <w:rsid w:val="007D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15D"/>
    <w:rPr>
      <w:kern w:val="2"/>
      <w:sz w:val="18"/>
      <w:szCs w:val="18"/>
    </w:rPr>
  </w:style>
  <w:style w:type="paragraph" w:styleId="a6">
    <w:name w:val="footer"/>
    <w:basedOn w:val="a"/>
    <w:link w:val="a7"/>
    <w:rsid w:val="007D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15D"/>
    <w:rPr>
      <w:kern w:val="2"/>
      <w:sz w:val="18"/>
      <w:szCs w:val="18"/>
    </w:rPr>
  </w:style>
  <w:style w:type="character" w:styleId="a8">
    <w:name w:val="annotation reference"/>
    <w:basedOn w:val="a0"/>
    <w:rsid w:val="00AF5762"/>
    <w:rPr>
      <w:sz w:val="21"/>
      <w:szCs w:val="21"/>
    </w:rPr>
  </w:style>
  <w:style w:type="paragraph" w:styleId="a9">
    <w:name w:val="annotation text"/>
    <w:basedOn w:val="a"/>
    <w:link w:val="aa"/>
    <w:rsid w:val="00AF5762"/>
    <w:pPr>
      <w:jc w:val="left"/>
    </w:pPr>
  </w:style>
  <w:style w:type="character" w:customStyle="1" w:styleId="aa">
    <w:name w:val="批注文字 字符"/>
    <w:basedOn w:val="a0"/>
    <w:link w:val="a9"/>
    <w:rsid w:val="00AF576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F5762"/>
    <w:rPr>
      <w:b/>
      <w:bCs/>
    </w:rPr>
  </w:style>
  <w:style w:type="character" w:customStyle="1" w:styleId="ac">
    <w:name w:val="批注主题 字符"/>
    <w:basedOn w:val="aa"/>
    <w:link w:val="ab"/>
    <w:rsid w:val="00AF5762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F5762"/>
    <w:rPr>
      <w:sz w:val="18"/>
      <w:szCs w:val="18"/>
    </w:rPr>
  </w:style>
  <w:style w:type="character" w:customStyle="1" w:styleId="ae">
    <w:name w:val="批注框文本 字符"/>
    <w:basedOn w:val="a0"/>
    <w:link w:val="ad"/>
    <w:rsid w:val="00AF57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C2E1A-CC74-4870-A4C6-78DD6684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2021-12-07T02:44:00Z</cp:lastPrinted>
  <dcterms:created xsi:type="dcterms:W3CDTF">2021-12-06T03:24:00Z</dcterms:created>
  <dcterms:modified xsi:type="dcterms:W3CDTF">2021-12-07T02:44:00Z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