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北京市法学会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2024年度部门整体绩效评价报告</w:t>
      </w:r>
    </w:p>
    <w:p>
      <w:pPr>
        <w:jc w:val="center"/>
        <w:rPr>
          <w:rFonts w:ascii="Nimbus Roman No9 L" w:hAnsi="Nimbus Roman No9 L" w:cs="Nimbus Roman No9 L"/>
          <w:szCs w:val="30"/>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黑体" w:cs="Nimbus Roman No9 L"/>
          <w:color w:val="000000"/>
          <w:kern w:val="0"/>
          <w:sz w:val="32"/>
          <w:szCs w:val="32"/>
        </w:rPr>
      </w:pPr>
      <w:r>
        <w:rPr>
          <w:rFonts w:ascii="Nimbus Roman No9 L" w:hAnsi="Nimbus Roman No9 L" w:eastAsia="黑体" w:cs="Nimbus Roman No9 L"/>
          <w:color w:val="000000"/>
          <w:kern w:val="0"/>
          <w:sz w:val="32"/>
          <w:szCs w:val="32"/>
        </w:rPr>
        <w:t>一、部门概况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（一）机构设置及职责工作任务情况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sz w:val="32"/>
          <w:szCs w:val="32"/>
        </w:rPr>
      </w:pPr>
      <w:r>
        <w:rPr>
          <w:rFonts w:ascii="Nimbus Roman No9 L" w:hAnsi="Nimbus Roman No9 L" w:eastAsia="仿宋_GB2312" w:cs="Nimbus Roman No9 L"/>
          <w:sz w:val="32"/>
          <w:szCs w:val="32"/>
        </w:rPr>
        <w:t>1.机构设置情况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根据北京市机构编制委员会办公室《关于印发北京市法学会机关主要职责、内设机构和人员编制方案的通知》（京编办函[2002]11号）设立北京市法学会。下属2个预算单位，为：北京市法学会本级、北京市应用法学研究中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sz w:val="32"/>
          <w:szCs w:val="32"/>
        </w:rPr>
      </w:pPr>
      <w:r>
        <w:rPr>
          <w:rFonts w:ascii="Nimbus Roman No9 L" w:hAnsi="Nimbus Roman No9 L" w:eastAsia="仿宋_GB2312" w:cs="Nimbus Roman No9 L"/>
          <w:sz w:val="32"/>
          <w:szCs w:val="32"/>
        </w:rPr>
        <w:t>2.单位性质及主要职责</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北京市法学会是市委领导的人民团体、学术团体和群众团体，是政法战线的重要组成部分，是市委和市政府联系和团结首都广大法学法律工作者的桥梁和纽带，是加强社会主义民主法治建设，推进全面依法治市、建设法治中国首善之区的重要力量。主要职责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（1）建设首都核心法治智库，为市委市政府领导决策发挥“智囊团”和“参谋库”作用；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（2）团结首都广大法学工作者、法律工作者，围绕全市工作大局，为本市经济和社会发展服务，为政法工作服务；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（3）组织和指导各研究会开展多学科、多层次的法学研究活动，为社会主义法治建设提供理论支持；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（4）参与法律、法规的草拟、论证工作，对本市立法、司法、执法、普法等实践活动中的重大问题提出对策和建议；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（5）同境内外法学团体和法律团体联系工作，开展学术交流与合作，发挥对外法学交流的渠道作用；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（6）参与法治宣传和法学教育，普及法律常识，参与培养法学人才、法律人才工作；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（7）建立法学会系统的信息网络，收集和介绍境内外法学研究动态，宣传和推广创新研究成果，编辑出版法学、法律图书和刊物；</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（8）负责会员及所属研究会的管理和联系工作，了解和反映法学界、法律界的意见和要求，维护会员的合法权益；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（9）贯彻市委关于加强社会建设的决议、决定，统筹指导全市法学研究组织和涉法类社会组织积极参与社会管理创新，组织形式多样的法律服务；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（10）承担全市政法工作中的重大课题研究。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（二）部门整体绩效目标设立情况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北京市法学会2024年度部门整体支出绩效目标是：</w:t>
      </w:r>
      <w:r>
        <w:rPr>
          <w:rFonts w:hint="eastAsia" w:ascii="Nimbus Roman No9 L" w:hAnsi="Nimbus Roman No9 L" w:eastAsia="仿宋_GB2312" w:cs="Nimbus Roman No9 L"/>
          <w:color w:val="000000"/>
          <w:kern w:val="0"/>
          <w:sz w:val="32"/>
          <w:szCs w:val="32"/>
        </w:rPr>
        <w:t>坚持党对法学会工作的全面领导，强化政治引领。打造学习研究宣传阐释习近平法治思想的高地，围绕新时代全面依法治国实践，继续做好市级法学研究课题工作，多措并举办好《法学杂志》，充分发挥习近平法治思想北京市系列实践研究基地示范带动作用，形成一批体现中国特色、首都水准的研究成果，扎实推进法学研究工作取得实效。大力提升服务基层工作力度，办好论坛等学术研讨活动、利用双优评选等做好人才培养工作、提升要报质量，积极服务法治实践。加强法学社会团体组织建设，充分利用专家资源，形成开展法学研究、服务法治实践的多方合力，进一步提升市法学会及法学社团组织的影响力、凝聚力</w:t>
      </w:r>
      <w:r>
        <w:rPr>
          <w:rFonts w:ascii="Nimbus Roman No9 L" w:hAnsi="Nimbus Roman No9 L" w:eastAsia="仿宋_GB2312" w:cs="Nimbus Roman No9 L"/>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黑体" w:cs="Nimbus Roman No9 L"/>
          <w:color w:val="000000"/>
          <w:kern w:val="0"/>
          <w:sz w:val="32"/>
          <w:szCs w:val="32"/>
        </w:rPr>
      </w:pPr>
      <w:r>
        <w:rPr>
          <w:rFonts w:ascii="Nimbus Roman No9 L" w:hAnsi="Nimbus Roman No9 L" w:eastAsia="黑体" w:cs="Nimbus Roman No9 L"/>
          <w:color w:val="000000"/>
          <w:kern w:val="0"/>
          <w:sz w:val="32"/>
          <w:szCs w:val="32"/>
        </w:rPr>
        <w:t>二、当年预算执行情况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2024年全年预算数2,486.95万元，其中，基本支出预算数1,693.64万元，项目支出预算数793.31万元。资金总体支出2,396.86万元，其中，基本支出1,632.16万元，项目支出764.71万元。预算执行率为96.38%。</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黑体" w:cs="Nimbus Roman No9 L"/>
          <w:color w:val="000000"/>
          <w:kern w:val="0"/>
          <w:sz w:val="32"/>
          <w:szCs w:val="32"/>
        </w:rPr>
      </w:pPr>
      <w:r>
        <w:rPr>
          <w:rFonts w:ascii="Nimbus Roman No9 L" w:hAnsi="Nimbus Roman No9 L" w:eastAsia="黑体" w:cs="Nimbus Roman No9 L"/>
          <w:color w:val="000000"/>
          <w:kern w:val="0"/>
          <w:sz w:val="32"/>
          <w:szCs w:val="32"/>
        </w:rPr>
        <w:t>三、整体绩效目标实现情况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（一）产出完成情况分析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1.产出数量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产出实际完成率和质量达标率都达到年初指标值。</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2.产出质量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产出实际完成率和质量达标率都达到预期目标。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3.产出进度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产出时效性达到年初预算指标。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4.产出成本</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2024年部门预算执行情况：总体支出率96.38%，其中基本经费支出率96.37%，项目经费支出率96.39%，结余97.45万元，其中基本支出结转62.06万元，项目支出结转35.39万元。基本支出保障了机构日常正常运行，项目产出基本与部门年度计划和部门职能相匹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（二）效果实现情况分析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1.经济效益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2.社会效益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2024年，在中国法学会的有力指导和市委、市委政法委的坚强领导下，市法学会坚持以习近平新时代中国特色社会主义思想为指导，深刻领悟“两个确立”的决定性意义，增强“四个意识”、坚定“四个自信”、做到“两个维护”，深入贯彻落实习近平法治思想，全面贯彻党的二十大和二十届二中、三中全会精神，按照市委十三届五次全会部署</w:t>
      </w:r>
      <w:r>
        <w:rPr>
          <w:rFonts w:hint="eastAsia" w:ascii="Nimbus Roman No9 L" w:hAnsi="Nimbus Roman No9 L" w:eastAsia="仿宋_GB2312" w:cs="Nimbus Roman No9 L"/>
          <w:color w:val="000000"/>
          <w:kern w:val="0"/>
          <w:sz w:val="32"/>
          <w:szCs w:val="32"/>
          <w:lang w:eastAsia="zh-CN"/>
        </w:rPr>
        <w:t>、</w:t>
      </w:r>
      <w:r>
        <w:rPr>
          <w:rFonts w:ascii="Nimbus Roman No9 L" w:hAnsi="Nimbus Roman No9 L" w:eastAsia="仿宋_GB2312" w:cs="Nimbus Roman No9 L"/>
          <w:color w:val="000000"/>
          <w:kern w:val="0"/>
          <w:sz w:val="32"/>
          <w:szCs w:val="32"/>
        </w:rPr>
        <w:t>市委政法工作会议要求，全面落实市法学会第八次代表大会工作安排，进一步全面深化改革，不断繁荣法学研究、服务法治实践、培养法治人才、加强自身建设，在“聚焦、聚力、聚合”三方面持续用力，为法治中国首善之区建设作出积极贡献，为奋力谱写中国式现代化的北京篇章提供法治支撑。</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3.环境效益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4.可持续性影响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lang w:eastAsia="zh-CN"/>
        </w:rPr>
        <w:t>市法学会坚持党的全面领导，坚持走中国特色社会主义法治道路，坚持服务党和国家工作大局，</w:t>
      </w:r>
      <w:r>
        <w:rPr>
          <w:rFonts w:ascii="Nimbus Roman No9 L" w:hAnsi="Nimbus Roman No9 L" w:eastAsia="仿宋_GB2312" w:cs="Nimbus Roman No9 L"/>
          <w:color w:val="000000"/>
          <w:kern w:val="0"/>
          <w:sz w:val="32"/>
          <w:szCs w:val="32"/>
        </w:rPr>
        <w:t>加强思想政治引领、推进组织体系建设、繁荣法学理论研究、提升法治宣传和法律服务水平、拓展法学交流、加强青年法学人才培养，</w:t>
      </w:r>
      <w:r>
        <w:rPr>
          <w:rFonts w:hint="eastAsia" w:ascii="Nimbus Roman No9 L" w:hAnsi="Nimbus Roman No9 L" w:eastAsia="仿宋_GB2312" w:cs="Nimbus Roman No9 L"/>
          <w:color w:val="000000"/>
          <w:kern w:val="0"/>
          <w:sz w:val="32"/>
          <w:szCs w:val="32"/>
          <w:lang w:eastAsia="zh-CN"/>
        </w:rPr>
        <w:t>推动法治中国首善之区建设迈上新台阶，为率先基本实现社会主义现代化提供坚强的法治保障。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5.服务对象满意度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lang w:eastAsia="zh-CN"/>
        </w:rPr>
        <w:t>市法学会</w:t>
      </w:r>
      <w:r>
        <w:rPr>
          <w:rFonts w:ascii="Nimbus Roman No9 L" w:hAnsi="Nimbus Roman No9 L" w:eastAsia="仿宋_GB2312" w:cs="Nimbus Roman No9 L"/>
          <w:color w:val="000000"/>
          <w:kern w:val="0"/>
          <w:sz w:val="32"/>
          <w:szCs w:val="32"/>
        </w:rPr>
        <w:t>服务社会治理创新，服务人民群众，服务经济社会发展</w:t>
      </w:r>
      <w:r>
        <w:rPr>
          <w:rFonts w:hint="eastAsia" w:ascii="Nimbus Roman No9 L" w:hAnsi="Nimbus Roman No9 L" w:eastAsia="仿宋_GB2312" w:cs="Nimbus Roman No9 L"/>
          <w:color w:val="000000"/>
          <w:kern w:val="0"/>
          <w:sz w:val="32"/>
          <w:szCs w:val="32"/>
          <w:lang w:eastAsia="zh-CN"/>
        </w:rPr>
        <w:t>，</w:t>
      </w:r>
      <w:r>
        <w:rPr>
          <w:rFonts w:ascii="Nimbus Roman No9 L" w:hAnsi="Nimbus Roman No9 L" w:eastAsia="仿宋_GB2312" w:cs="Nimbus Roman No9 L"/>
          <w:color w:val="000000"/>
          <w:kern w:val="0"/>
          <w:sz w:val="32"/>
          <w:szCs w:val="32"/>
        </w:rPr>
        <w:t>不断增强政治性、先进性、群众性，全面提升履职能力和工作质效。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黑体" w:cs="Nimbus Roman No9 L"/>
          <w:color w:val="000000"/>
          <w:kern w:val="0"/>
          <w:sz w:val="32"/>
          <w:szCs w:val="32"/>
        </w:rPr>
      </w:pPr>
      <w:r>
        <w:rPr>
          <w:rFonts w:ascii="Nimbus Roman No9 L" w:hAnsi="Nimbus Roman No9 L" w:eastAsia="黑体" w:cs="Nimbus Roman No9 L"/>
          <w:color w:val="000000"/>
          <w:kern w:val="0"/>
          <w:sz w:val="32"/>
          <w:szCs w:val="32"/>
        </w:rPr>
        <w:t>四、预算管理情况分析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（一）财务管理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1.财务管理制度健全性</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为加强预算管理已制定预算资金管理办法、内部财务管理制度、会计核算制度等管理制度；相关管理制度合法、合规、完整；相关管理制度已得到有效执行。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2.资金使用合规性和安全性</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使用预算资金符合国家财经法规和财务管理制度规定以及专项资金管理办法的规定；资金的使用有完整的审批程序和手续；资金使用符合部门预算批复的用途；不存在截留、挤占、挪用、虚列支出等情况。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3.会计基础信息完善性</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基础数据信息和会计信息资料真实、完整、准确。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（二）资产管理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已制定资产管理制度；相关资金管理制度合法、合规、完整；相关资产管理制度有效执行。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资产保存完整；资产配置合理；资产处置合规；资产账务管理合规账实相符。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（三）绩效管理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市法学会建立了较为完善的绩效管理工作机制，成立</w:t>
      </w:r>
      <w:r>
        <w:rPr>
          <w:rFonts w:hint="eastAsia" w:ascii="Nimbus Roman No9 L" w:hAnsi="Nimbus Roman No9 L" w:eastAsia="仿宋_GB2312" w:cs="Nimbus Roman No9 L"/>
          <w:color w:val="000000"/>
          <w:kern w:val="0"/>
          <w:sz w:val="32"/>
          <w:szCs w:val="32"/>
          <w:lang w:eastAsia="zh-CN"/>
        </w:rPr>
        <w:t>了</w:t>
      </w:r>
      <w:r>
        <w:rPr>
          <w:rFonts w:hint="eastAsia" w:ascii="Nimbus Roman No9 L" w:hAnsi="Nimbus Roman No9 L" w:eastAsia="仿宋_GB2312" w:cs="Nimbus Roman No9 L"/>
          <w:color w:val="000000"/>
          <w:kern w:val="0"/>
          <w:sz w:val="32"/>
          <w:szCs w:val="32"/>
        </w:rPr>
        <w:t>绩效管理工作小组，明确了绩效管理的组织机构和人员分工。通过明确各环节的责任主体，形成了各司其职、各负其责的工作格局，为绩效管理工作的顺利推进提供了组织保障。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（四）结转结余率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2024年底</w:t>
      </w: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预算结转结余</w:t>
      </w:r>
      <w:bookmarkStart w:id="0" w:name="_Hlk198199155"/>
      <w:r>
        <w:rPr>
          <w:rFonts w:ascii="Nimbus Roman No9 L" w:hAnsi="Nimbus Roman No9 L" w:eastAsia="仿宋_GB2312" w:cs="Nimbus Roman No9 L"/>
          <w:color w:val="000000"/>
          <w:kern w:val="0"/>
          <w:sz w:val="32"/>
          <w:szCs w:val="32"/>
        </w:rPr>
        <w:t>97.45</w:t>
      </w:r>
      <w:bookmarkEnd w:id="0"/>
      <w:r>
        <w:rPr>
          <w:rFonts w:ascii="Nimbus Roman No9 L" w:hAnsi="Nimbus Roman No9 L" w:eastAsia="仿宋_GB2312" w:cs="Nimbus Roman No9 L"/>
          <w:color w:val="000000"/>
          <w:kern w:val="0"/>
          <w:sz w:val="32"/>
          <w:szCs w:val="32"/>
        </w:rPr>
        <w:t>万元，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结转结余率＝结转结余总额/支出预算数×100%=97.45/2,486.95×100%=3.92%。</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（五）部门预决算差异率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2024年决算收入为</w:t>
      </w:r>
      <w:bookmarkStart w:id="1" w:name="_Hlk198199483"/>
      <w:r>
        <w:rPr>
          <w:rFonts w:ascii="Nimbus Roman No9 L" w:hAnsi="Nimbus Roman No9 L" w:eastAsia="仿宋_GB2312" w:cs="Nimbus Roman No9 L"/>
          <w:color w:val="000000"/>
          <w:kern w:val="0"/>
          <w:sz w:val="32"/>
          <w:szCs w:val="32"/>
        </w:rPr>
        <w:t>2,485.</w:t>
      </w:r>
      <w:bookmarkEnd w:id="1"/>
      <w:r>
        <w:rPr>
          <w:rFonts w:ascii="Nimbus Roman No9 L" w:hAnsi="Nimbus Roman No9 L" w:eastAsia="仿宋_GB2312" w:cs="Nimbus Roman No9 L"/>
          <w:color w:val="000000"/>
          <w:kern w:val="0"/>
          <w:sz w:val="32"/>
          <w:szCs w:val="32"/>
        </w:rPr>
        <w:t>17万元，年初预算收入为2,632.38万元；决算支出为2,396.86万元，年初预算支出为2,634.16万元。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部门预算收入差异率＝(部门决算收入数－部门预算收入数)/部门预算收入数×100%=（2,485.17-2,632.38）/2,632.38=-5.59%；</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部门预算支出差异率＝(部门决算支出数－部门预算支出数)/部门预算支出数×100%=（2,396.86-2,634.16）/2,634.16=-9.01%。</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黑体" w:cs="Nimbus Roman No9 L"/>
          <w:sz w:val="32"/>
          <w:szCs w:val="32"/>
        </w:rPr>
      </w:pPr>
      <w:r>
        <w:rPr>
          <w:rFonts w:ascii="Nimbus Roman No9 L" w:hAnsi="Nimbus Roman No9 L" w:eastAsia="黑体" w:cs="Nimbus Roman No9 L"/>
          <w:sz w:val="32"/>
          <w:szCs w:val="32"/>
        </w:rPr>
        <w:t>五、总体评价结论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（一）评价得分情况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根据评价指标体系测算，</w:t>
      </w:r>
      <w:r>
        <w:rPr>
          <w:rFonts w:hint="eastAsia" w:ascii="Nimbus Roman No9 L" w:hAnsi="Nimbus Roman No9 L" w:eastAsia="仿宋_GB2312" w:cs="Nimbus Roman No9 L"/>
          <w:color w:val="000000"/>
          <w:kern w:val="0"/>
          <w:sz w:val="32"/>
          <w:szCs w:val="32"/>
        </w:rPr>
        <w:t>市法学会</w:t>
      </w:r>
      <w:r>
        <w:rPr>
          <w:rFonts w:ascii="Nimbus Roman No9 L" w:hAnsi="Nimbus Roman No9 L" w:eastAsia="仿宋_GB2312" w:cs="Nimbus Roman No9 L"/>
          <w:color w:val="000000"/>
          <w:kern w:val="0"/>
          <w:sz w:val="32"/>
          <w:szCs w:val="32"/>
        </w:rPr>
        <w:t>部门整体支出绩效评价得分是：当年预算执行情况绩效为19.28分，整体绩效目标实现情况绩效为57分，预算管理情况绩效为19.73分，总绩效为96.01分。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楷体_GB2312" w:cs="Nimbus Roman No9 L"/>
          <w:sz w:val="32"/>
          <w:szCs w:val="32"/>
        </w:rPr>
      </w:pPr>
      <w:r>
        <w:rPr>
          <w:rFonts w:ascii="Nimbus Roman No9 L" w:hAnsi="Nimbus Roman No9 L" w:eastAsia="楷体_GB2312" w:cs="Nimbus Roman No9 L"/>
          <w:sz w:val="32"/>
          <w:szCs w:val="32"/>
        </w:rPr>
        <w:t>（二）存在的问题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部门总体绩效目标申报表填报不够科学，量化程度不够。后续的可考量性不足。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个别业务部门预算绩效全过程管理意识还不强；绩效资料收集不够细致和完整；个别绩效量化指标的设定不够细致和科学。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2" w:firstLineChars="200"/>
        <w:textAlignment w:val="auto"/>
        <w:rPr>
          <w:rFonts w:hint="eastAsia" w:ascii="Nimbus Roman No9 L" w:hAnsi="Nimbus Roman No9 L" w:eastAsia="仿宋_GB2312" w:cs="Nimbus Roman No9 L"/>
          <w:b/>
          <w:bCs/>
          <w:color w:val="000000"/>
          <w:kern w:val="0"/>
          <w:sz w:val="32"/>
          <w:szCs w:val="32"/>
        </w:rPr>
      </w:pPr>
      <w:r>
        <w:rPr>
          <w:rFonts w:ascii="Nimbus Roman No9 L" w:hAnsi="Nimbus Roman No9 L" w:eastAsia="黑体" w:cs="Nimbus Roman No9 L"/>
          <w:b/>
          <w:bCs/>
          <w:color w:val="000000"/>
          <w:kern w:val="0"/>
          <w:sz w:val="32"/>
          <w:szCs w:val="32"/>
        </w:rPr>
        <w:t>六、措施建议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应科学、合理、规范地确定部门绩效目标，以部门的职能定位和年度工作任务作为切入点，全面反映部门绩效，并将各相关职能（或工作）内容反映在分项指标中，将要进行的工作按照数量、质量、进度分别确定，提升各项指标的可考量性和完整性。</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eastAsia="仿宋_GB2312" w:cs="Nimbus Roman No9 L"/>
          <w:color w:val="000000"/>
          <w:kern w:val="0"/>
          <w:sz w:val="32"/>
          <w:szCs w:val="32"/>
        </w:rPr>
      </w:pPr>
      <w:r>
        <w:rPr>
          <w:rFonts w:hint="eastAsia" w:ascii="Nimbus Roman No9 L" w:hAnsi="Nimbus Roman No9 L" w:eastAsia="仿宋_GB2312" w:cs="Nimbus Roman No9 L"/>
          <w:color w:val="000000"/>
          <w:kern w:val="0"/>
          <w:sz w:val="32"/>
          <w:szCs w:val="32"/>
        </w:rPr>
        <w:t>应不断</w:t>
      </w:r>
      <w:r>
        <w:rPr>
          <w:rFonts w:ascii="Nimbus Roman No9 L" w:hAnsi="Nimbus Roman No9 L" w:eastAsia="仿宋_GB2312" w:cs="Nimbus Roman No9 L"/>
          <w:color w:val="000000"/>
          <w:kern w:val="0"/>
          <w:sz w:val="32"/>
          <w:szCs w:val="32"/>
        </w:rPr>
        <w:t>提高绩效管理水平。建立健全部门绩效管理制度，包括建立绩效管理组织机构及人员分工、绩效指标设置、绩效跟踪、绩效自评、绩效资料收集整理分析等制度，切实提高资金使用效益，强化预算绩效意识，提高绩效的管控力；重视项目绩效资料的收集，对于受益群体较明显的项目应及时开展对服务对象的满意度调查，提升项目的社会效益。</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Nimbus Roman No9 L" w:hAnsi="Nimbus Roman No9 L" w:cs="Nimbus Roman No9 L"/>
          <w:sz w:val="32"/>
          <w:szCs w:val="32"/>
        </w:rPr>
      </w:pPr>
      <w:bookmarkStart w:id="2" w:name="_Toc103006301"/>
      <w:r>
        <w:rPr>
          <w:rFonts w:ascii="Nimbus Roman No9 L" w:hAnsi="Nimbus Roman No9 L" w:cs="Nimbus Roman No9 L"/>
          <w:sz w:val="32"/>
          <w:szCs w:val="32"/>
        </w:rPr>
        <w:t>七、附件</w:t>
      </w:r>
      <w:bookmarkEnd w:id="2"/>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ascii="Nimbus Roman No9 L" w:hAnsi="Nimbus Roman No9 L" w:eastAsia="仿宋_GB2312" w:cs="Nimbus Roman No9 L"/>
          <w:sz w:val="32"/>
          <w:szCs w:val="32"/>
        </w:rPr>
      </w:pPr>
      <w:r>
        <w:rPr>
          <w:rFonts w:ascii="Nimbus Roman No9 L" w:hAnsi="Nimbus Roman No9 L" w:eastAsia="仿宋_GB2312" w:cs="Nimbus Roman No9 L"/>
          <w:sz w:val="32"/>
          <w:szCs w:val="32"/>
        </w:rPr>
        <w:t>2024年部门整体绩效评价指标体系评分表</w:t>
      </w:r>
    </w:p>
    <w:p>
      <w:pPr>
        <w:rPr>
          <w:rFonts w:ascii="Nimbus Roman No9 L" w:hAnsi="Nimbus Roman No9 L" w:eastAsia="仿宋_GB2312" w:cs="Nimbus Roman No9 L"/>
          <w:sz w:val="32"/>
          <w:szCs w:val="32"/>
        </w:rPr>
      </w:pPr>
      <w:r>
        <w:rPr>
          <w:rFonts w:ascii="Nimbus Roman No9 L" w:hAnsi="Nimbus Roman No9 L" w:eastAsia="仿宋_GB2312" w:cs="Nimbus Roman No9 L"/>
          <w:sz w:val="32"/>
          <w:szCs w:val="32"/>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2024年部门整体绩效评价指标体系评分表</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p>
    <w:tbl>
      <w:tblPr>
        <w:tblStyle w:val="5"/>
        <w:tblW w:w="5188" w:type="pct"/>
        <w:tblInd w:w="0" w:type="dxa"/>
        <w:tblLayout w:type="fixed"/>
        <w:tblCellMar>
          <w:top w:w="0" w:type="dxa"/>
          <w:left w:w="108" w:type="dxa"/>
          <w:bottom w:w="0" w:type="dxa"/>
          <w:right w:w="108" w:type="dxa"/>
        </w:tblCellMar>
      </w:tblPr>
      <w:tblGrid>
        <w:gridCol w:w="1161"/>
        <w:gridCol w:w="1156"/>
        <w:gridCol w:w="1532"/>
        <w:gridCol w:w="1650"/>
        <w:gridCol w:w="1365"/>
        <w:gridCol w:w="960"/>
        <w:gridCol w:w="1019"/>
      </w:tblGrid>
      <w:tr>
        <w:tblPrEx>
          <w:tblCellMar>
            <w:top w:w="0" w:type="dxa"/>
            <w:left w:w="108" w:type="dxa"/>
            <w:bottom w:w="0" w:type="dxa"/>
            <w:right w:w="108" w:type="dxa"/>
          </w:tblCellMar>
        </w:tblPrEx>
        <w:trPr>
          <w:cantSplit/>
          <w:trHeight w:val="816" w:hRule="atLeast"/>
        </w:trPr>
        <w:tc>
          <w:tcPr>
            <w:tcW w:w="5000" w:type="pct"/>
            <w:gridSpan w:val="7"/>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w:t>
            </w:r>
            <w:r>
              <w:rPr>
                <w:rFonts w:hint="eastAsia" w:ascii="宋体" w:hAnsi="宋体" w:cs="宋体"/>
                <w:color w:val="000000"/>
                <w:kern w:val="0"/>
                <w:sz w:val="20"/>
                <w:szCs w:val="20"/>
              </w:rPr>
              <w:t>当年预算执行情况（20分）</w:t>
            </w:r>
          </w:p>
        </w:tc>
      </w:tr>
      <w:tr>
        <w:tblPrEx>
          <w:tblCellMar>
            <w:top w:w="0" w:type="dxa"/>
            <w:left w:w="108" w:type="dxa"/>
            <w:bottom w:w="0" w:type="dxa"/>
            <w:right w:w="108" w:type="dxa"/>
          </w:tblCellMar>
        </w:tblPrEx>
        <w:trPr>
          <w:cantSplit/>
          <w:trHeight w:val="622" w:hRule="atLeast"/>
        </w:trPr>
        <w:tc>
          <w:tcPr>
            <w:tcW w:w="65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65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8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93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执行数（万元）</w:t>
            </w:r>
          </w:p>
        </w:tc>
        <w:tc>
          <w:tcPr>
            <w:tcW w:w="7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5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57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tblPrEx>
          <w:tblCellMar>
            <w:top w:w="0" w:type="dxa"/>
            <w:left w:w="108" w:type="dxa"/>
            <w:bottom w:w="0" w:type="dxa"/>
            <w:right w:w="108" w:type="dxa"/>
          </w:tblCellMar>
        </w:tblPrEx>
        <w:trPr>
          <w:cantSplit/>
          <w:trHeight w:val="630" w:hRule="atLeast"/>
        </w:trPr>
        <w:tc>
          <w:tcPr>
            <w:tcW w:w="656"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当年预算执行情况（20）</w:t>
            </w:r>
          </w:p>
        </w:tc>
        <w:tc>
          <w:tcPr>
            <w:tcW w:w="65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资金总体</w:t>
            </w:r>
          </w:p>
        </w:tc>
        <w:tc>
          <w:tcPr>
            <w:tcW w:w="8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2,486</w:t>
            </w:r>
            <w:r>
              <w:rPr>
                <w:rFonts w:ascii="宋体" w:hAnsi="宋体" w:cs="宋体"/>
                <w:color w:val="000000"/>
                <w:kern w:val="0"/>
                <w:sz w:val="20"/>
                <w:szCs w:val="20"/>
              </w:rPr>
              <w:t>.</w:t>
            </w:r>
            <w:r>
              <w:rPr>
                <w:rFonts w:hint="eastAsia" w:ascii="宋体" w:hAnsi="宋体" w:cs="宋体"/>
                <w:color w:val="000000"/>
                <w:kern w:val="0"/>
                <w:sz w:val="20"/>
                <w:szCs w:val="20"/>
              </w:rPr>
              <w:t>95　</w:t>
            </w:r>
          </w:p>
        </w:tc>
        <w:tc>
          <w:tcPr>
            <w:tcW w:w="93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w:t>
            </w:r>
            <w:r>
              <w:rPr>
                <w:rFonts w:hint="eastAsia" w:ascii="宋体" w:hAnsi="宋体" w:cs="宋体"/>
                <w:color w:val="000000"/>
                <w:kern w:val="0"/>
                <w:sz w:val="20"/>
                <w:szCs w:val="20"/>
              </w:rPr>
              <w:t>396</w:t>
            </w:r>
            <w:r>
              <w:rPr>
                <w:rFonts w:ascii="宋体" w:hAnsi="宋体" w:cs="宋体"/>
                <w:color w:val="000000"/>
                <w:kern w:val="0"/>
                <w:sz w:val="20"/>
                <w:szCs w:val="20"/>
              </w:rPr>
              <w:t>.</w:t>
            </w:r>
            <w:r>
              <w:rPr>
                <w:rFonts w:hint="eastAsia" w:ascii="宋体" w:hAnsi="宋体" w:cs="宋体"/>
                <w:color w:val="000000"/>
                <w:kern w:val="0"/>
                <w:sz w:val="20"/>
                <w:szCs w:val="20"/>
              </w:rPr>
              <w:t>86</w:t>
            </w:r>
          </w:p>
        </w:tc>
        <w:tc>
          <w:tcPr>
            <w:tcW w:w="7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w:t>
            </w:r>
            <w:r>
              <w:rPr>
                <w:rFonts w:ascii="宋体" w:hAnsi="宋体" w:cs="宋体"/>
                <w:color w:val="000000"/>
                <w:kern w:val="0"/>
                <w:sz w:val="20"/>
                <w:szCs w:val="20"/>
              </w:rPr>
              <w:t>.</w:t>
            </w:r>
            <w:r>
              <w:rPr>
                <w:rFonts w:hint="eastAsia" w:ascii="宋体" w:hAnsi="宋体" w:cs="宋体"/>
                <w:color w:val="000000"/>
                <w:kern w:val="0"/>
                <w:sz w:val="20"/>
                <w:szCs w:val="20"/>
              </w:rPr>
              <w:t>38</w:t>
            </w:r>
            <w:r>
              <w:rPr>
                <w:rFonts w:ascii="宋体" w:hAnsi="宋体" w:cs="宋体"/>
                <w:color w:val="000000"/>
                <w:kern w:val="0"/>
                <w:sz w:val="20"/>
                <w:szCs w:val="20"/>
              </w:rPr>
              <w:t>%</w:t>
            </w:r>
            <w:r>
              <w:rPr>
                <w:rFonts w:hint="eastAsia" w:ascii="宋体" w:hAnsi="宋体" w:cs="宋体"/>
                <w:color w:val="000000"/>
                <w:kern w:val="0"/>
                <w:sz w:val="20"/>
                <w:szCs w:val="20"/>
              </w:rPr>
              <w:t>　</w:t>
            </w:r>
          </w:p>
        </w:tc>
        <w:tc>
          <w:tcPr>
            <w:tcW w:w="54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7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w:t>
            </w:r>
            <w:r>
              <w:rPr>
                <w:rFonts w:hint="eastAsia" w:ascii="宋体" w:hAnsi="宋体" w:cs="宋体"/>
                <w:color w:val="000000"/>
                <w:kern w:val="0"/>
                <w:sz w:val="20"/>
                <w:szCs w:val="20"/>
              </w:rPr>
              <w:t>28　</w:t>
            </w:r>
          </w:p>
        </w:tc>
      </w:tr>
      <w:tr>
        <w:tblPrEx>
          <w:tblCellMar>
            <w:top w:w="0" w:type="dxa"/>
            <w:left w:w="108" w:type="dxa"/>
            <w:bottom w:w="0" w:type="dxa"/>
            <w:right w:w="108" w:type="dxa"/>
          </w:tblCellMar>
        </w:tblPrEx>
        <w:trPr>
          <w:cantSplit/>
          <w:trHeight w:val="600"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8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693</w:t>
            </w:r>
            <w:r>
              <w:rPr>
                <w:rFonts w:ascii="宋体" w:hAnsi="宋体" w:cs="宋体"/>
                <w:color w:val="000000"/>
                <w:kern w:val="0"/>
                <w:sz w:val="20"/>
                <w:szCs w:val="20"/>
              </w:rPr>
              <w:t>.</w:t>
            </w:r>
            <w:r>
              <w:rPr>
                <w:rFonts w:hint="eastAsia" w:ascii="宋体" w:hAnsi="宋体" w:cs="宋体"/>
                <w:color w:val="000000"/>
                <w:kern w:val="0"/>
                <w:sz w:val="20"/>
                <w:szCs w:val="20"/>
              </w:rPr>
              <w:t>64　</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w:t>
            </w:r>
            <w:r>
              <w:rPr>
                <w:rFonts w:hint="eastAsia" w:ascii="宋体" w:hAnsi="宋体" w:cs="宋体"/>
                <w:color w:val="000000"/>
                <w:kern w:val="0"/>
                <w:sz w:val="20"/>
                <w:szCs w:val="20"/>
              </w:rPr>
              <w:t>632</w:t>
            </w:r>
            <w:r>
              <w:rPr>
                <w:rFonts w:ascii="宋体" w:hAnsi="宋体" w:cs="宋体"/>
                <w:color w:val="000000"/>
                <w:kern w:val="0"/>
                <w:sz w:val="20"/>
                <w:szCs w:val="20"/>
              </w:rPr>
              <w:t>.</w:t>
            </w:r>
            <w:r>
              <w:rPr>
                <w:rFonts w:hint="eastAsia" w:ascii="宋体" w:hAnsi="宋体" w:cs="宋体"/>
                <w:color w:val="000000"/>
                <w:kern w:val="0"/>
                <w:sz w:val="20"/>
                <w:szCs w:val="20"/>
              </w:rPr>
              <w:t>16</w:t>
            </w:r>
          </w:p>
        </w:tc>
        <w:tc>
          <w:tcPr>
            <w:tcW w:w="77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cantSplit/>
          <w:trHeight w:val="465"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8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793</w:t>
            </w:r>
            <w:r>
              <w:rPr>
                <w:rFonts w:ascii="宋体" w:hAnsi="宋体" w:cs="宋体"/>
                <w:color w:val="000000"/>
                <w:kern w:val="0"/>
                <w:sz w:val="20"/>
                <w:szCs w:val="20"/>
              </w:rPr>
              <w:t>.</w:t>
            </w:r>
            <w:r>
              <w:rPr>
                <w:rFonts w:hint="eastAsia" w:ascii="宋体" w:hAnsi="宋体" w:cs="宋体"/>
                <w:color w:val="000000"/>
                <w:kern w:val="0"/>
                <w:sz w:val="20"/>
                <w:szCs w:val="20"/>
              </w:rPr>
              <w:t>31</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764</w:t>
            </w:r>
            <w:r>
              <w:rPr>
                <w:rFonts w:ascii="宋体" w:hAnsi="宋体" w:cs="宋体"/>
                <w:color w:val="000000"/>
                <w:kern w:val="0"/>
                <w:sz w:val="20"/>
                <w:szCs w:val="20"/>
              </w:rPr>
              <w:t>.</w:t>
            </w:r>
            <w:r>
              <w:rPr>
                <w:rFonts w:hint="eastAsia" w:ascii="宋体" w:hAnsi="宋体" w:cs="宋体"/>
                <w:color w:val="000000"/>
                <w:kern w:val="0"/>
                <w:sz w:val="20"/>
                <w:szCs w:val="20"/>
              </w:rPr>
              <w:t>71　</w:t>
            </w:r>
          </w:p>
        </w:tc>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cantSplit/>
          <w:trHeight w:val="471"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86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cantSplit/>
          <w:trHeight w:val="701" w:hRule="atLeast"/>
        </w:trPr>
        <w:tc>
          <w:tcPr>
            <w:tcW w:w="5000" w:type="pct"/>
            <w:gridSpan w:val="7"/>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二</w:t>
            </w:r>
            <w:r>
              <w:rPr>
                <w:rFonts w:ascii="宋体" w:hAnsi="宋体" w:cs="宋体"/>
                <w:color w:val="000000"/>
                <w:kern w:val="0"/>
                <w:sz w:val="18"/>
                <w:szCs w:val="18"/>
              </w:rPr>
              <w:t>、</w:t>
            </w:r>
            <w:r>
              <w:rPr>
                <w:rFonts w:hint="eastAsia" w:ascii="宋体" w:hAnsi="宋体" w:cs="宋体"/>
                <w:color w:val="000000"/>
                <w:kern w:val="0"/>
                <w:sz w:val="20"/>
                <w:szCs w:val="20"/>
              </w:rPr>
              <w:t>整体绩效目标实现情况（60分）</w:t>
            </w:r>
          </w:p>
        </w:tc>
      </w:tr>
      <w:tr>
        <w:tblPrEx>
          <w:tblCellMar>
            <w:top w:w="0" w:type="dxa"/>
            <w:left w:w="108" w:type="dxa"/>
            <w:bottom w:w="0" w:type="dxa"/>
            <w:right w:w="108" w:type="dxa"/>
          </w:tblCellMar>
        </w:tblPrEx>
        <w:trPr>
          <w:cantSplit/>
          <w:trHeight w:val="601" w:hRule="atLeast"/>
        </w:trPr>
        <w:tc>
          <w:tcPr>
            <w:tcW w:w="65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65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86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5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57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tblPrEx>
          <w:tblCellMar>
            <w:top w:w="0" w:type="dxa"/>
            <w:left w:w="108" w:type="dxa"/>
            <w:bottom w:w="0" w:type="dxa"/>
            <w:right w:w="108" w:type="dxa"/>
          </w:tblCellMar>
        </w:tblPrEx>
        <w:trPr>
          <w:cantSplit/>
          <w:trHeight w:val="802" w:hRule="atLeast"/>
        </w:trPr>
        <w:tc>
          <w:tcPr>
            <w:tcW w:w="65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653" w:type="pct"/>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产出（30）</w:t>
            </w:r>
          </w:p>
        </w:tc>
        <w:tc>
          <w:tcPr>
            <w:tcW w:w="866"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指标1</w:t>
            </w:r>
          </w:p>
        </w:tc>
        <w:tc>
          <w:tcPr>
            <w:tcW w:w="932"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任务完成数量（13）　</w:t>
            </w:r>
          </w:p>
        </w:tc>
        <w:tc>
          <w:tcPr>
            <w:tcW w:w="771"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542" w:type="pct"/>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576" w:type="pct"/>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8　</w:t>
            </w:r>
          </w:p>
        </w:tc>
      </w:tr>
      <w:tr>
        <w:tblPrEx>
          <w:tblCellMar>
            <w:top w:w="0" w:type="dxa"/>
            <w:left w:w="108" w:type="dxa"/>
            <w:bottom w:w="0" w:type="dxa"/>
            <w:right w:w="108" w:type="dxa"/>
          </w:tblCellMar>
        </w:tblPrEx>
        <w:trPr>
          <w:cantSplit/>
          <w:trHeight w:val="829"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指标2</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质量达标数量（13）　</w:t>
            </w:r>
          </w:p>
        </w:tc>
        <w:tc>
          <w:tcPr>
            <w:tcW w:w="7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542" w:type="pct"/>
            <w:vMerge w:val="continue"/>
            <w:tcBorders>
              <w:top w:val="single" w:color="auto" w:sz="4" w:space="0"/>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　</w:t>
            </w:r>
          </w:p>
        </w:tc>
      </w:tr>
      <w:tr>
        <w:tblPrEx>
          <w:tblCellMar>
            <w:top w:w="0" w:type="dxa"/>
            <w:left w:w="108" w:type="dxa"/>
            <w:bottom w:w="0" w:type="dxa"/>
            <w:right w:w="108" w:type="dxa"/>
          </w:tblCellMar>
        </w:tblPrEx>
        <w:trPr>
          <w:cantSplit/>
          <w:trHeight w:val="727"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指标3</w:t>
            </w:r>
          </w:p>
        </w:tc>
        <w:tc>
          <w:tcPr>
            <w:tcW w:w="93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按时完成任务数量（13）　</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542"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　</w:t>
            </w:r>
          </w:p>
        </w:tc>
      </w:tr>
      <w:tr>
        <w:tblPrEx>
          <w:tblCellMar>
            <w:top w:w="0" w:type="dxa"/>
            <w:left w:w="108" w:type="dxa"/>
            <w:bottom w:w="0" w:type="dxa"/>
            <w:right w:w="108" w:type="dxa"/>
          </w:tblCellMar>
        </w:tblPrEx>
        <w:trPr>
          <w:cantSplit/>
          <w:trHeight w:val="764"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指标4</w:t>
            </w:r>
          </w:p>
        </w:tc>
        <w:tc>
          <w:tcPr>
            <w:tcW w:w="93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产出成本较去年降低　</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较去年增加</w:t>
            </w:r>
          </w:p>
        </w:tc>
        <w:tc>
          <w:tcPr>
            <w:tcW w:w="542"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tcBorders>
              <w:top w:val="nil"/>
              <w:left w:val="nil"/>
              <w:bottom w:val="single" w:color="auto" w:sz="4" w:space="0"/>
              <w:right w:val="single" w:color="auto" w:sz="4" w:space="0"/>
            </w:tcBorders>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5</w:t>
            </w:r>
          </w:p>
        </w:tc>
      </w:tr>
      <w:tr>
        <w:tblPrEx>
          <w:tblCellMar>
            <w:top w:w="0" w:type="dxa"/>
            <w:left w:w="108" w:type="dxa"/>
            <w:bottom w:w="0" w:type="dxa"/>
            <w:right w:w="108" w:type="dxa"/>
          </w:tblCellMar>
        </w:tblPrEx>
        <w:trPr>
          <w:cantSplit/>
          <w:trHeight w:val="675"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效果（30）</w:t>
            </w:r>
          </w:p>
        </w:tc>
        <w:tc>
          <w:tcPr>
            <w:tcW w:w="86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指标1</w:t>
            </w:r>
          </w:p>
        </w:tc>
        <w:tc>
          <w:tcPr>
            <w:tcW w:w="93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经济效益</w:t>
            </w:r>
          </w:p>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（强中差）　</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　</w:t>
            </w:r>
          </w:p>
        </w:tc>
        <w:tc>
          <w:tcPr>
            <w:tcW w:w="542"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57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r>
      <w:tr>
        <w:tblPrEx>
          <w:tblCellMar>
            <w:top w:w="0" w:type="dxa"/>
            <w:left w:w="108" w:type="dxa"/>
            <w:bottom w:w="0" w:type="dxa"/>
            <w:right w:w="108" w:type="dxa"/>
          </w:tblCellMar>
        </w:tblPrEx>
        <w:trPr>
          <w:cantSplit/>
          <w:trHeight w:val="777"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指标2</w:t>
            </w:r>
          </w:p>
        </w:tc>
        <w:tc>
          <w:tcPr>
            <w:tcW w:w="93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社会效益</w:t>
            </w:r>
          </w:p>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（强中差）　</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w:t>
            </w:r>
          </w:p>
        </w:tc>
        <w:tc>
          <w:tcPr>
            <w:tcW w:w="54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cantSplit/>
          <w:trHeight w:val="690" w:hRule="atLeast"/>
        </w:trPr>
        <w:tc>
          <w:tcPr>
            <w:tcW w:w="65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指标3</w:t>
            </w:r>
          </w:p>
        </w:tc>
        <w:tc>
          <w:tcPr>
            <w:tcW w:w="93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环境效益</w:t>
            </w:r>
          </w:p>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（强中差）　</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　</w:t>
            </w:r>
          </w:p>
        </w:tc>
        <w:tc>
          <w:tcPr>
            <w:tcW w:w="54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cantSplit/>
          <w:trHeight w:val="780" w:hRule="atLeast"/>
        </w:trPr>
        <w:tc>
          <w:tcPr>
            <w:tcW w:w="65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指标4</w:t>
            </w:r>
          </w:p>
        </w:tc>
        <w:tc>
          <w:tcPr>
            <w:tcW w:w="93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可持续影响</w:t>
            </w:r>
          </w:p>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（强中差）</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w:t>
            </w:r>
            <w:bookmarkStart w:id="3" w:name="_GoBack"/>
            <w:bookmarkEnd w:id="3"/>
            <w:r>
              <w:rPr>
                <w:rFonts w:hint="eastAsia" w:ascii="宋体" w:hAnsi="宋体" w:cs="宋体"/>
                <w:color w:val="000000"/>
                <w:kern w:val="0"/>
                <w:sz w:val="20"/>
                <w:szCs w:val="20"/>
              </w:rPr>
              <w:t>　</w:t>
            </w:r>
          </w:p>
        </w:tc>
        <w:tc>
          <w:tcPr>
            <w:tcW w:w="54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7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cantSplit/>
          <w:trHeight w:val="67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w:t>
            </w:r>
            <w:r>
              <w:rPr>
                <w:rFonts w:hint="eastAsia" w:ascii="宋体" w:hAnsi="宋体" w:cs="宋体"/>
                <w:color w:val="000000"/>
                <w:kern w:val="0"/>
                <w:sz w:val="20"/>
                <w:szCs w:val="20"/>
              </w:rPr>
              <w:t>预算管理情况（20分）</w:t>
            </w:r>
          </w:p>
        </w:tc>
      </w:tr>
      <w:tr>
        <w:tblPrEx>
          <w:tblCellMar>
            <w:top w:w="0" w:type="dxa"/>
            <w:left w:w="108" w:type="dxa"/>
            <w:bottom w:w="0" w:type="dxa"/>
            <w:right w:w="108" w:type="dxa"/>
          </w:tblCellMar>
        </w:tblPrEx>
        <w:trPr>
          <w:cantSplit/>
          <w:trHeight w:val="702" w:hRule="atLeast"/>
        </w:trPr>
        <w:tc>
          <w:tcPr>
            <w:tcW w:w="65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65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86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7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54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57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r>
      <w:tr>
        <w:tblPrEx>
          <w:tblCellMar>
            <w:top w:w="0" w:type="dxa"/>
            <w:left w:w="108" w:type="dxa"/>
            <w:bottom w:w="0" w:type="dxa"/>
            <w:right w:w="108" w:type="dxa"/>
          </w:tblCellMar>
        </w:tblPrEx>
        <w:trPr>
          <w:cantSplit/>
          <w:trHeight w:val="924" w:hRule="atLeast"/>
        </w:trPr>
        <w:tc>
          <w:tcPr>
            <w:tcW w:w="656" w:type="pct"/>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预算管理情况（20）</w:t>
            </w:r>
          </w:p>
          <w:p>
            <w:pPr>
              <w:widowControl/>
              <w:jc w:val="left"/>
              <w:rPr>
                <w:rFonts w:ascii="宋体" w:hAnsi="宋体" w:cs="宋体"/>
                <w:color w:val="000000"/>
                <w:kern w:val="0"/>
                <w:sz w:val="20"/>
                <w:szCs w:val="20"/>
              </w:rPr>
            </w:pPr>
            <w:r>
              <w:rPr>
                <w:rFonts w:ascii="宋体" w:hAnsi="宋体" w:cs="宋体"/>
                <w:color w:val="000000"/>
                <w:kern w:val="0"/>
                <w:sz w:val="20"/>
                <w:szCs w:val="20"/>
              </w:rPr>
              <w:br w:type="page"/>
            </w:r>
          </w:p>
        </w:tc>
        <w:tc>
          <w:tcPr>
            <w:tcW w:w="65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86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7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　</w:t>
            </w:r>
          </w:p>
        </w:tc>
      </w:tr>
      <w:tr>
        <w:tblPrEx>
          <w:tblCellMar>
            <w:top w:w="0" w:type="dxa"/>
            <w:left w:w="108" w:type="dxa"/>
            <w:bottom w:w="0" w:type="dxa"/>
            <w:right w:w="108" w:type="dxa"/>
          </w:tblCellMar>
        </w:tblPrEx>
        <w:trPr>
          <w:cantSplit/>
          <w:trHeight w:val="850" w:hRule="atLeast"/>
        </w:trPr>
        <w:tc>
          <w:tcPr>
            <w:tcW w:w="65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9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7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　</w:t>
            </w:r>
          </w:p>
        </w:tc>
      </w:tr>
      <w:tr>
        <w:tblPrEx>
          <w:tblCellMar>
            <w:top w:w="0" w:type="dxa"/>
            <w:left w:w="108" w:type="dxa"/>
            <w:bottom w:w="0" w:type="dxa"/>
            <w:right w:w="108" w:type="dxa"/>
          </w:tblCellMar>
        </w:tblPrEx>
        <w:trPr>
          <w:cantSplit/>
          <w:trHeight w:val="642" w:hRule="atLeast"/>
        </w:trPr>
        <w:tc>
          <w:tcPr>
            <w:tcW w:w="65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6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93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7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　</w:t>
            </w:r>
          </w:p>
        </w:tc>
      </w:tr>
      <w:tr>
        <w:tblPrEx>
          <w:tblCellMar>
            <w:top w:w="0" w:type="dxa"/>
            <w:left w:w="108" w:type="dxa"/>
            <w:bottom w:w="0" w:type="dxa"/>
            <w:right w:w="108" w:type="dxa"/>
          </w:tblCellMar>
        </w:tblPrEx>
        <w:trPr>
          <w:cantSplit/>
          <w:trHeight w:val="805" w:hRule="atLeast"/>
        </w:trPr>
        <w:tc>
          <w:tcPr>
            <w:tcW w:w="65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86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资产管理</w:t>
            </w:r>
          </w:p>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规范性</w:t>
            </w:r>
          </w:p>
        </w:tc>
        <w:tc>
          <w:tcPr>
            <w:tcW w:w="932"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71"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r>
      <w:tr>
        <w:tblPrEx>
          <w:tblCellMar>
            <w:top w:w="0" w:type="dxa"/>
            <w:left w:w="108" w:type="dxa"/>
            <w:bottom w:w="0" w:type="dxa"/>
            <w:right w:w="108" w:type="dxa"/>
          </w:tblCellMar>
        </w:tblPrEx>
        <w:trPr>
          <w:cantSplit/>
          <w:trHeight w:val="747" w:hRule="atLeast"/>
        </w:trPr>
        <w:tc>
          <w:tcPr>
            <w:tcW w:w="65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86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932"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71"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cantSplit/>
          <w:trHeight w:val="394" w:hRule="atLeast"/>
        </w:trPr>
        <w:tc>
          <w:tcPr>
            <w:tcW w:w="65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　</w:t>
            </w:r>
          </w:p>
        </w:tc>
        <w:tc>
          <w:tcPr>
            <w:tcW w:w="866" w:type="pct"/>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p>
        </w:tc>
        <w:tc>
          <w:tcPr>
            <w:tcW w:w="932" w:type="pct"/>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p>
        </w:tc>
        <w:tc>
          <w:tcPr>
            <w:tcW w:w="7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2024年</w:t>
            </w:r>
          </w:p>
        </w:tc>
        <w:tc>
          <w:tcPr>
            <w:tcW w:w="5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57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tblPrEx>
          <w:tblCellMar>
            <w:top w:w="0" w:type="dxa"/>
            <w:left w:w="108" w:type="dxa"/>
            <w:bottom w:w="0" w:type="dxa"/>
            <w:right w:w="108" w:type="dxa"/>
          </w:tblCellMar>
        </w:tblPrEx>
        <w:trPr>
          <w:cantSplit/>
          <w:trHeight w:val="804" w:hRule="atLeast"/>
        </w:trPr>
        <w:tc>
          <w:tcPr>
            <w:tcW w:w="65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866" w:type="pct"/>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p>
        </w:tc>
        <w:tc>
          <w:tcPr>
            <w:tcW w:w="932" w:type="pct"/>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3.24%</w:t>
            </w:r>
          </w:p>
        </w:tc>
        <w:tc>
          <w:tcPr>
            <w:tcW w:w="77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3.92</w:t>
            </w:r>
            <w:r>
              <w:rPr>
                <w:rFonts w:ascii="宋体" w:hAnsi="宋体" w:cs="宋体"/>
                <w:color w:val="000000"/>
                <w:kern w:val="0"/>
                <w:sz w:val="20"/>
                <w:szCs w:val="20"/>
              </w:rPr>
              <w:t>%</w:t>
            </w:r>
          </w:p>
        </w:tc>
        <w:tc>
          <w:tcPr>
            <w:tcW w:w="54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3.73</w:t>
            </w:r>
          </w:p>
        </w:tc>
      </w:tr>
      <w:tr>
        <w:tblPrEx>
          <w:tblCellMar>
            <w:top w:w="0" w:type="dxa"/>
            <w:left w:w="108" w:type="dxa"/>
            <w:bottom w:w="0" w:type="dxa"/>
            <w:right w:w="108" w:type="dxa"/>
          </w:tblCellMar>
        </w:tblPrEx>
        <w:trPr>
          <w:cantSplit/>
          <w:trHeight w:val="1094" w:hRule="atLeast"/>
        </w:trPr>
        <w:tc>
          <w:tcPr>
            <w:tcW w:w="656" w:type="pct"/>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5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86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p>
        </w:tc>
        <w:tc>
          <w:tcPr>
            <w:tcW w:w="93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-0.50%</w:t>
            </w:r>
          </w:p>
        </w:tc>
        <w:tc>
          <w:tcPr>
            <w:tcW w:w="771"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-9.01%</w:t>
            </w:r>
          </w:p>
        </w:tc>
        <w:tc>
          <w:tcPr>
            <w:tcW w:w="54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7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r>
      <w:tr>
        <w:tblPrEx>
          <w:tblCellMar>
            <w:top w:w="0" w:type="dxa"/>
            <w:left w:w="108" w:type="dxa"/>
            <w:bottom w:w="0" w:type="dxa"/>
            <w:right w:w="108" w:type="dxa"/>
          </w:tblCellMar>
        </w:tblPrEx>
        <w:trPr>
          <w:cantSplit/>
          <w:trHeight w:val="484" w:hRule="atLeast"/>
        </w:trPr>
        <w:tc>
          <w:tcPr>
            <w:tcW w:w="3881"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54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7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96.01　</w:t>
            </w:r>
          </w:p>
        </w:tc>
      </w:tr>
    </w:tbl>
    <w:p>
      <w:pPr>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rPr>
        <w:rFonts w:hint="eastAsia"/>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rP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E3"/>
    <w:rsid w:val="0000178B"/>
    <w:rsid w:val="00021A00"/>
    <w:rsid w:val="00051245"/>
    <w:rsid w:val="00092336"/>
    <w:rsid w:val="000938E2"/>
    <w:rsid w:val="000B1640"/>
    <w:rsid w:val="000C0B1E"/>
    <w:rsid w:val="000C354E"/>
    <w:rsid w:val="00133577"/>
    <w:rsid w:val="00163135"/>
    <w:rsid w:val="00165B60"/>
    <w:rsid w:val="00185982"/>
    <w:rsid w:val="00190C06"/>
    <w:rsid w:val="00197540"/>
    <w:rsid w:val="001B4C76"/>
    <w:rsid w:val="001C2CF8"/>
    <w:rsid w:val="001C7A82"/>
    <w:rsid w:val="001E7886"/>
    <w:rsid w:val="00202E27"/>
    <w:rsid w:val="00206DCB"/>
    <w:rsid w:val="00217699"/>
    <w:rsid w:val="00274B5C"/>
    <w:rsid w:val="002E19A7"/>
    <w:rsid w:val="00331448"/>
    <w:rsid w:val="00362E76"/>
    <w:rsid w:val="00381ABB"/>
    <w:rsid w:val="003D0B07"/>
    <w:rsid w:val="003D2FD9"/>
    <w:rsid w:val="003E032C"/>
    <w:rsid w:val="00451703"/>
    <w:rsid w:val="00456BD3"/>
    <w:rsid w:val="004765E6"/>
    <w:rsid w:val="00481E68"/>
    <w:rsid w:val="00485F65"/>
    <w:rsid w:val="00491306"/>
    <w:rsid w:val="004D3320"/>
    <w:rsid w:val="004D60FE"/>
    <w:rsid w:val="004E0053"/>
    <w:rsid w:val="004E09CC"/>
    <w:rsid w:val="00524936"/>
    <w:rsid w:val="0054691E"/>
    <w:rsid w:val="00580B6F"/>
    <w:rsid w:val="005945A7"/>
    <w:rsid w:val="00597DE0"/>
    <w:rsid w:val="005B597B"/>
    <w:rsid w:val="00631903"/>
    <w:rsid w:val="00691A4A"/>
    <w:rsid w:val="006B3306"/>
    <w:rsid w:val="006E04E9"/>
    <w:rsid w:val="00700103"/>
    <w:rsid w:val="00760E84"/>
    <w:rsid w:val="00763A47"/>
    <w:rsid w:val="00776029"/>
    <w:rsid w:val="007F53E3"/>
    <w:rsid w:val="008142F7"/>
    <w:rsid w:val="00826E37"/>
    <w:rsid w:val="008D0C8D"/>
    <w:rsid w:val="008F6B05"/>
    <w:rsid w:val="00A37472"/>
    <w:rsid w:val="00A83A63"/>
    <w:rsid w:val="00A91A07"/>
    <w:rsid w:val="00AA51CC"/>
    <w:rsid w:val="00B1445E"/>
    <w:rsid w:val="00B55FCF"/>
    <w:rsid w:val="00B70D56"/>
    <w:rsid w:val="00B71941"/>
    <w:rsid w:val="00B757DC"/>
    <w:rsid w:val="00B940DF"/>
    <w:rsid w:val="00B96D8C"/>
    <w:rsid w:val="00BC352B"/>
    <w:rsid w:val="00BD18B3"/>
    <w:rsid w:val="00BD7A04"/>
    <w:rsid w:val="00BF6FE9"/>
    <w:rsid w:val="00C06033"/>
    <w:rsid w:val="00C07D4B"/>
    <w:rsid w:val="00C20127"/>
    <w:rsid w:val="00C43102"/>
    <w:rsid w:val="00C47507"/>
    <w:rsid w:val="00C73AD7"/>
    <w:rsid w:val="00C87B92"/>
    <w:rsid w:val="00CC34C9"/>
    <w:rsid w:val="00CE69EC"/>
    <w:rsid w:val="00CE717F"/>
    <w:rsid w:val="00CF703E"/>
    <w:rsid w:val="00D07DD7"/>
    <w:rsid w:val="00D41F0C"/>
    <w:rsid w:val="00D51890"/>
    <w:rsid w:val="00D736AB"/>
    <w:rsid w:val="00D8209E"/>
    <w:rsid w:val="00D824C8"/>
    <w:rsid w:val="00DC3721"/>
    <w:rsid w:val="00DD14F2"/>
    <w:rsid w:val="00E43FB9"/>
    <w:rsid w:val="00E472EE"/>
    <w:rsid w:val="00E92075"/>
    <w:rsid w:val="00EE47CB"/>
    <w:rsid w:val="00F00330"/>
    <w:rsid w:val="00F25EAE"/>
    <w:rsid w:val="00F3417D"/>
    <w:rsid w:val="00F35AF5"/>
    <w:rsid w:val="00F764A0"/>
    <w:rsid w:val="00F80AB7"/>
    <w:rsid w:val="00F97416"/>
    <w:rsid w:val="00F977E7"/>
    <w:rsid w:val="00FB5B31"/>
    <w:rsid w:val="00FD0752"/>
    <w:rsid w:val="6B17A237"/>
    <w:rsid w:val="6F6F278B"/>
    <w:rsid w:val="7AFBC390"/>
    <w:rsid w:val="7FF3D90A"/>
    <w:rsid w:val="BDFDCAEF"/>
    <w:rsid w:val="D7EE2E68"/>
    <w:rsid w:val="DEDFB8BB"/>
    <w:rsid w:val="E57E75BB"/>
    <w:rsid w:val="EC3F07FE"/>
    <w:rsid w:val="F9FB29A8"/>
    <w:rsid w:val="FEF92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spacing w:line="600" w:lineRule="exact"/>
      <w:ind w:firstLine="640"/>
      <w:outlineLvl w:val="0"/>
    </w:pPr>
    <w:rPr>
      <w:rFonts w:ascii="黑体" w:hAnsi="黑体" w:eastAsia="黑体" w:cs="宋体"/>
      <w:color w:val="000000"/>
      <w:kern w:val="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黑体" w:hAnsi="黑体" w:eastAsia="黑体" w:cs="宋体"/>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3004</Words>
  <Characters>3066</Characters>
  <Lines>139</Lines>
  <Paragraphs>62</Paragraphs>
  <TotalTime>2</TotalTime>
  <ScaleCrop>false</ScaleCrop>
  <LinksUpToDate>false</LinksUpToDate>
  <CharactersWithSpaces>6008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2022-05-29T01:24:00Z</dcterms:created>
  <dc:creator>薇 薛</dc:creator>
  <cp:lastModifiedBy>lenovo</cp:lastModifiedBy>
  <cp:lastPrinted>2025-05-22T17:24:00Z</cp:lastPrinted>
  <dcterms:modified xsi:type="dcterms:W3CDTF">2025-08-27T11:00:35Z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