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sz w:val="52"/>
          <w:szCs w:val="52"/>
        </w:rPr>
      </w:pPr>
      <w:r>
        <w:rPr>
          <w:rFonts w:hint="eastAsia" w:ascii="宋体" w:hAnsi="宋体"/>
          <w:b/>
          <w:bCs/>
          <w:color w:val="000000"/>
          <w:sz w:val="52"/>
          <w:szCs w:val="52"/>
        </w:rPr>
        <w:t>北京市市级预算部门财政项目支出</w:t>
      </w:r>
    </w:p>
    <w:p>
      <w:pPr>
        <w:jc w:val="center"/>
        <w:rPr>
          <w:rFonts w:hint="eastAsia" w:ascii="宋体" w:hAnsi="宋体"/>
          <w:b/>
          <w:bCs/>
          <w:color w:val="000000"/>
          <w:sz w:val="52"/>
          <w:szCs w:val="52"/>
        </w:rPr>
      </w:pPr>
      <w:r>
        <w:rPr>
          <w:rFonts w:hint="eastAsia" w:ascii="宋体" w:hAnsi="宋体"/>
          <w:b/>
          <w:bCs/>
          <w:color w:val="000000"/>
          <w:sz w:val="52"/>
          <w:szCs w:val="52"/>
        </w:rPr>
        <w:t>绩效评价报告</w:t>
      </w:r>
    </w:p>
    <w:p>
      <w:pPr>
        <w:jc w:val="center"/>
        <w:rPr>
          <w:rFonts w:hint="eastAsia" w:ascii="宋体" w:hAnsi="宋体"/>
          <w:b/>
          <w:bCs/>
          <w:color w:val="000000"/>
          <w:sz w:val="32"/>
          <w:szCs w:val="32"/>
        </w:rPr>
      </w:pPr>
    </w:p>
    <w:p>
      <w:pPr>
        <w:jc w:val="center"/>
        <w:rPr>
          <w:rFonts w:hint="eastAsia" w:ascii="宋体" w:hAnsi="宋体"/>
          <w:color w:val="000000"/>
          <w:sz w:val="32"/>
          <w:szCs w:val="32"/>
        </w:rPr>
      </w:pPr>
    </w:p>
    <w:p>
      <w:pPr>
        <w:jc w:val="center"/>
        <w:rPr>
          <w:rFonts w:hint="eastAsia" w:ascii="宋体" w:hAnsi="宋体"/>
          <w:color w:val="000000"/>
          <w:sz w:val="32"/>
          <w:szCs w:val="32"/>
        </w:rPr>
      </w:pPr>
    </w:p>
    <w:p>
      <w:pPr>
        <w:jc w:val="center"/>
        <w:rPr>
          <w:rFonts w:hint="eastAsia" w:ascii="宋体" w:hAnsi="宋体"/>
          <w:color w:val="000000"/>
          <w:sz w:val="32"/>
          <w:szCs w:val="32"/>
        </w:rPr>
      </w:pPr>
    </w:p>
    <w:p>
      <w:pPr>
        <w:jc w:val="center"/>
        <w:rPr>
          <w:rFonts w:hint="eastAsia" w:ascii="宋体" w:hAnsi="宋体"/>
          <w:color w:val="000000"/>
          <w:sz w:val="32"/>
          <w:szCs w:val="32"/>
        </w:rPr>
      </w:pPr>
    </w:p>
    <w:p>
      <w:pPr>
        <w:jc w:val="center"/>
        <w:rPr>
          <w:rFonts w:hint="eastAsia" w:ascii="宋体" w:hAnsi="宋体"/>
          <w:color w:val="000000"/>
          <w:sz w:val="32"/>
          <w:szCs w:val="32"/>
        </w:rPr>
      </w:pPr>
    </w:p>
    <w:tbl>
      <w:tblPr>
        <w:tblStyle w:val="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57"/>
        <w:gridCol w:w="5670"/>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757" w:type="dxa"/>
            <w:vAlign w:val="bottom"/>
          </w:tcPr>
          <w:p>
            <w:pPr>
              <w:jc w:val="center"/>
              <w:rPr>
                <w:rFonts w:hint="eastAsia" w:ascii="宋体" w:hAnsi="宋体"/>
                <w:color w:val="000000"/>
                <w:sz w:val="30"/>
              </w:rPr>
            </w:pPr>
            <w:r>
              <w:rPr>
                <w:rFonts w:hint="eastAsia" w:ascii="宋体" w:hAnsi="宋体"/>
                <w:color w:val="000000"/>
                <w:sz w:val="30"/>
              </w:rPr>
              <w:t>主管部门</w:t>
            </w:r>
          </w:p>
        </w:tc>
        <w:tc>
          <w:tcPr>
            <w:tcW w:w="5670" w:type="dxa"/>
            <w:vAlign w:val="bottom"/>
          </w:tcPr>
          <w:p>
            <w:pPr>
              <w:rPr>
                <w:rFonts w:hint="eastAsia" w:ascii="宋体" w:hAnsi="宋体"/>
                <w:color w:val="000000"/>
                <w:sz w:val="30"/>
              </w:rPr>
            </w:pPr>
            <w:r>
              <w:rPr>
                <w:rFonts w:ascii="宋体" w:hAnsi="宋体"/>
                <w:color w:val="000000"/>
                <w:sz w:val="30"/>
              </w:rPr>
              <w:t>北京市法学会</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757" w:type="dxa"/>
            <w:vAlign w:val="bottom"/>
          </w:tcPr>
          <w:p>
            <w:pPr>
              <w:jc w:val="center"/>
              <w:rPr>
                <w:rFonts w:hint="eastAsia" w:ascii="宋体" w:hAnsi="宋体"/>
                <w:color w:val="000000"/>
                <w:sz w:val="30"/>
              </w:rPr>
            </w:pPr>
            <w:r>
              <w:rPr>
                <w:rFonts w:hint="eastAsia" w:ascii="宋体" w:hAnsi="宋体"/>
                <w:color w:val="000000"/>
                <w:sz w:val="30"/>
              </w:rPr>
              <w:t>项目单位</w:t>
            </w:r>
          </w:p>
        </w:tc>
        <w:tc>
          <w:tcPr>
            <w:tcW w:w="5670" w:type="dxa"/>
            <w:vAlign w:val="bottom"/>
          </w:tcPr>
          <w:p>
            <w:pPr>
              <w:rPr>
                <w:rFonts w:hint="eastAsia" w:ascii="宋体" w:hAnsi="宋体"/>
                <w:color w:val="000000"/>
                <w:sz w:val="30"/>
              </w:rPr>
            </w:pPr>
            <w:r>
              <w:rPr>
                <w:rFonts w:ascii="宋体" w:hAnsi="宋体"/>
                <w:color w:val="000000"/>
                <w:sz w:val="30"/>
              </w:rPr>
              <w:t>北京市法学会</w:t>
            </w:r>
            <w:r>
              <w:rPr>
                <w:rFonts w:hint="eastAsia" w:ascii="宋体" w:hAnsi="宋体"/>
                <w:color w:val="000000"/>
                <w:sz w:val="30"/>
              </w:rPr>
              <w:t>（本级）</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757" w:type="dxa"/>
            <w:vAlign w:val="bottom"/>
          </w:tcPr>
          <w:p>
            <w:pPr>
              <w:jc w:val="center"/>
              <w:rPr>
                <w:rFonts w:hint="eastAsia" w:ascii="宋体" w:hAnsi="宋体"/>
                <w:color w:val="000000"/>
                <w:sz w:val="30"/>
              </w:rPr>
            </w:pPr>
            <w:r>
              <w:rPr>
                <w:rFonts w:hint="eastAsia" w:ascii="宋体" w:hAnsi="宋体"/>
                <w:color w:val="000000"/>
                <w:sz w:val="30"/>
              </w:rPr>
              <w:t>项目名称</w:t>
            </w:r>
          </w:p>
        </w:tc>
        <w:tc>
          <w:tcPr>
            <w:tcW w:w="5670" w:type="dxa"/>
            <w:vAlign w:val="bottom"/>
          </w:tcPr>
          <w:p>
            <w:pPr>
              <w:rPr>
                <w:rFonts w:hint="eastAsia" w:ascii="宋体" w:hAnsi="宋体"/>
                <w:color w:val="000000"/>
                <w:sz w:val="30"/>
              </w:rPr>
            </w:pPr>
            <w:r>
              <w:rPr>
                <w:rFonts w:hint="eastAsia" w:ascii="宋体" w:hAnsi="宋体"/>
                <w:color w:val="000000"/>
                <w:sz w:val="30"/>
              </w:rPr>
              <w:t>开展法治宣传</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1757" w:type="dxa"/>
            <w:vAlign w:val="bottom"/>
          </w:tcPr>
          <w:p>
            <w:pPr>
              <w:jc w:val="center"/>
              <w:rPr>
                <w:rFonts w:hint="eastAsia" w:ascii="宋体" w:hAnsi="宋体"/>
                <w:color w:val="000000"/>
                <w:sz w:val="30"/>
              </w:rPr>
            </w:pPr>
            <w:r>
              <w:rPr>
                <w:rFonts w:ascii="宋体" w:hAnsi="宋体"/>
                <w:color w:val="000000"/>
                <w:sz w:val="30"/>
              </w:rPr>
              <w:t>评价机构</w:t>
            </w:r>
          </w:p>
        </w:tc>
        <w:tc>
          <w:tcPr>
            <w:tcW w:w="5670" w:type="dxa"/>
            <w:vAlign w:val="bottom"/>
          </w:tcPr>
          <w:p>
            <w:pPr>
              <w:rPr>
                <w:rFonts w:hint="eastAsia" w:ascii="宋体" w:hAnsi="宋体"/>
                <w:color w:val="000000"/>
                <w:sz w:val="30"/>
              </w:rPr>
            </w:pPr>
            <w:r>
              <w:rPr>
                <w:rFonts w:ascii="宋体" w:hAnsi="宋体"/>
                <w:color w:val="000000"/>
                <w:sz w:val="30"/>
              </w:rPr>
              <w:t>北京市法学会</w:t>
            </w:r>
          </w:p>
        </w:tc>
      </w:tr>
    </w:tbl>
    <w:p>
      <w:pPr>
        <w:ind w:firstLine="1500" w:firstLineChars="500"/>
        <w:rPr>
          <w:rFonts w:hint="eastAsia" w:ascii="黑体" w:hAnsi="黑体" w:eastAsia="黑体"/>
          <w:color w:val="000000"/>
          <w:sz w:val="30"/>
          <w:u w:val="single"/>
        </w:rPr>
      </w:pPr>
    </w:p>
    <w:p>
      <w:pPr>
        <w:jc w:val="center"/>
        <w:rPr>
          <w:rFonts w:ascii="黑体" w:hAnsi="黑体" w:eastAsia="黑体"/>
          <w:color w:val="000000"/>
          <w:sz w:val="36"/>
          <w:szCs w:val="36"/>
        </w:rPr>
      </w:pPr>
    </w:p>
    <w:p>
      <w:pPr>
        <w:jc w:val="center"/>
        <w:rPr>
          <w:rFonts w:ascii="黑体" w:hAnsi="黑体" w:eastAsia="黑体"/>
          <w:color w:val="000000"/>
          <w:sz w:val="36"/>
          <w:szCs w:val="36"/>
        </w:rPr>
      </w:pPr>
    </w:p>
    <w:p>
      <w:pPr>
        <w:jc w:val="center"/>
        <w:rPr>
          <w:rFonts w:hint="eastAsia" w:ascii="黑体" w:hAnsi="黑体" w:eastAsia="黑体"/>
          <w:color w:val="000000"/>
          <w:sz w:val="36"/>
          <w:szCs w:val="36"/>
        </w:rPr>
      </w:pPr>
      <w:r>
        <w:rPr>
          <w:rFonts w:hint="eastAsia" w:ascii="黑体" w:hAnsi="黑体" w:eastAsia="黑体"/>
          <w:color w:val="000000"/>
          <w:sz w:val="36"/>
          <w:szCs w:val="36"/>
        </w:rPr>
        <w:t>北京市法学会</w:t>
      </w:r>
    </w:p>
    <w:p>
      <w:pPr>
        <w:jc w:val="center"/>
        <w:rPr>
          <w:rFonts w:hint="eastAsia" w:ascii="黑体" w:hAnsi="黑体" w:eastAsia="黑体"/>
          <w:color w:val="000000"/>
          <w:sz w:val="36"/>
          <w:szCs w:val="36"/>
        </w:rPr>
      </w:pPr>
      <w:r>
        <w:rPr>
          <w:rFonts w:hint="eastAsia" w:ascii="黑体" w:hAnsi="黑体" w:eastAsia="黑体"/>
          <w:color w:val="000000"/>
          <w:sz w:val="36"/>
          <w:szCs w:val="36"/>
        </w:rPr>
        <w:t>20</w:t>
      </w:r>
      <w:r>
        <w:rPr>
          <w:rFonts w:ascii="黑体" w:hAnsi="黑体" w:eastAsia="黑体"/>
          <w:color w:val="000000"/>
          <w:sz w:val="36"/>
          <w:szCs w:val="36"/>
        </w:rPr>
        <w:t>2</w:t>
      </w:r>
      <w:r>
        <w:rPr>
          <w:rFonts w:hint="eastAsia" w:ascii="黑体" w:hAnsi="黑体" w:eastAsia="黑体"/>
          <w:color w:val="000000"/>
          <w:sz w:val="36"/>
          <w:szCs w:val="36"/>
        </w:rPr>
        <w:t>5年</w:t>
      </w:r>
      <w:r>
        <w:rPr>
          <w:rFonts w:ascii="黑体" w:hAnsi="黑体" w:eastAsia="黑体"/>
          <w:color w:val="000000"/>
          <w:sz w:val="36"/>
          <w:szCs w:val="36"/>
        </w:rPr>
        <w:t>5</w:t>
      </w:r>
      <w:r>
        <w:rPr>
          <w:rFonts w:hint="eastAsia" w:ascii="黑体" w:hAnsi="黑体" w:eastAsia="黑体"/>
          <w:color w:val="000000"/>
          <w:sz w:val="36"/>
          <w:szCs w:val="36"/>
        </w:rPr>
        <w:t>月</w:t>
      </w: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项目支出绩效评价报告</w:t>
      </w:r>
    </w:p>
    <w:p>
      <w:pPr>
        <w:spacing w:line="560" w:lineRule="exact"/>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1.项目背景及主要内容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围绕学习好、宣传好、贯彻好党的二十大</w:t>
      </w:r>
      <w:r>
        <w:rPr>
          <w:rFonts w:hint="eastAsia" w:ascii="仿宋_GB2312" w:hAnsi="仿宋_GB2312" w:eastAsia="仿宋_GB2312" w:cs="仿宋_GB2312"/>
          <w:sz w:val="32"/>
          <w:szCs w:val="32"/>
          <w:lang w:eastAsia="zh-CN"/>
        </w:rPr>
        <w:t>和二十届二中、三中全会</w:t>
      </w:r>
      <w:r>
        <w:rPr>
          <w:rFonts w:hint="eastAsia" w:ascii="仿宋_GB2312" w:hAnsi="仿宋_GB2312" w:eastAsia="仿宋_GB2312" w:cs="仿宋_GB2312"/>
          <w:sz w:val="32"/>
          <w:szCs w:val="32"/>
        </w:rPr>
        <w:t>精神，深入学习宣传贯彻习近平法治思想，大力弘扬社会主义法治精神，深入宣传宪法和宪法相关法、民法典以及与推动高质量发展密切相关的法律法规，深入宣传总体国家安全观和国家安全相关法律，深入宣传党内法规。立足法学会自身职能定位，发挥首都法学法律人才荟萃等资源优势，以“百名法学家百场报告会”“青年普法志愿者法治文化基层行”</w:t>
      </w:r>
      <w:r>
        <w:rPr>
          <w:rFonts w:hint="eastAsia" w:ascii="仿宋_GB2312" w:hAnsi="仿宋_GB2312" w:eastAsia="仿宋_GB2312" w:cs="仿宋_GB2312"/>
          <w:sz w:val="32"/>
          <w:szCs w:val="32"/>
          <w:lang w:eastAsia="zh-CN"/>
        </w:rPr>
        <w:t>等法治宣传活动</w:t>
      </w:r>
      <w:r>
        <w:rPr>
          <w:rFonts w:hint="eastAsia" w:ascii="仿宋_GB2312" w:hAnsi="仿宋_GB2312" w:eastAsia="仿宋_GB2312" w:cs="仿宋_GB2312"/>
          <w:sz w:val="32"/>
          <w:szCs w:val="32"/>
        </w:rPr>
        <w:t>为载体，根据各区法学会实际需求，运用首都高级法学法律人才库和百名法学青年英才等资源，推动法律“七进”（进农村、进社区、进机关、进企业、进校园、进军营、进网络），开展深入系统、有针对性的法治宣传教育，推动法治宣传活动多点开花、有序开展，不断强化思想引领，凝聚社会共识，构筑精神力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项目资金情况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本项目年初预算资金31.20万元，年中调减预算0.00万元，预算收入为31.20万元，预算支出为31.16万元，年末结转资金为0.04万元，预算执行率为99.86%。项目明细预算执行情况如下表所示：</w:t>
      </w:r>
    </w:p>
    <w:p>
      <w:pPr>
        <w:keepNext w:val="0"/>
        <w:keepLines w:val="0"/>
        <w:pageBreakBefore w:val="0"/>
        <w:widowControl w:val="0"/>
        <w:kinsoku/>
        <w:wordWrap/>
        <w:overflowPunct/>
        <w:topLinePunct w:val="0"/>
        <w:autoSpaceDE/>
        <w:autoSpaceDN/>
        <w:bidi w:val="0"/>
        <w:adjustRightInd/>
        <w:snapToGrid/>
        <w:spacing w:after="0" w:line="560" w:lineRule="exact"/>
        <w:ind w:firstLine="6080" w:firstLineChars="19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金额单位：元</w:t>
      </w:r>
    </w:p>
    <w:tbl>
      <w:tblPr>
        <w:tblStyle w:val="4"/>
        <w:tblW w:w="8976" w:type="dxa"/>
        <w:tblInd w:w="-176" w:type="dxa"/>
        <w:tblLayout w:type="fixed"/>
        <w:tblCellMar>
          <w:top w:w="0" w:type="dxa"/>
          <w:left w:w="108" w:type="dxa"/>
          <w:bottom w:w="0" w:type="dxa"/>
          <w:right w:w="108" w:type="dxa"/>
        </w:tblCellMar>
      </w:tblPr>
      <w:tblGrid>
        <w:gridCol w:w="1826"/>
        <w:gridCol w:w="1488"/>
        <w:gridCol w:w="1412"/>
        <w:gridCol w:w="1625"/>
        <w:gridCol w:w="1350"/>
        <w:gridCol w:w="1275"/>
      </w:tblGrid>
      <w:tr>
        <w:tblPrEx>
          <w:tblCellMar>
            <w:top w:w="0" w:type="dxa"/>
            <w:left w:w="108" w:type="dxa"/>
            <w:bottom w:w="0" w:type="dxa"/>
            <w:right w:w="108" w:type="dxa"/>
          </w:tblCellMar>
        </w:tblPrEx>
        <w:trPr>
          <w:trHeight w:val="255" w:hRule="atLeast"/>
        </w:trPr>
        <w:tc>
          <w:tcPr>
            <w:tcW w:w="18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b/>
                <w:bCs/>
                <w:color w:val="000000"/>
                <w:kern w:val="0"/>
                <w:sz w:val="24"/>
              </w:rPr>
            </w:pPr>
            <w:r>
              <w:rPr>
                <w:rFonts w:hint="eastAsia" w:ascii="宋体" w:hAnsi="宋体" w:cs="Arial"/>
                <w:b/>
                <w:bCs/>
                <w:color w:val="000000"/>
                <w:kern w:val="0"/>
                <w:sz w:val="24"/>
              </w:rPr>
              <w:t>项目名称</w:t>
            </w:r>
          </w:p>
        </w:tc>
        <w:tc>
          <w:tcPr>
            <w:tcW w:w="290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Arial"/>
                <w:b/>
                <w:bCs/>
                <w:color w:val="000000"/>
                <w:kern w:val="0"/>
                <w:sz w:val="24"/>
              </w:rPr>
            </w:pPr>
            <w:r>
              <w:rPr>
                <w:rFonts w:hint="eastAsia" w:ascii="宋体" w:hAnsi="宋体" w:cs="Arial"/>
                <w:b/>
                <w:bCs/>
                <w:color w:val="000000"/>
                <w:kern w:val="0"/>
                <w:sz w:val="24"/>
              </w:rPr>
              <w:t>预算数（元）</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b/>
                <w:bCs/>
                <w:color w:val="000000"/>
                <w:kern w:val="0"/>
                <w:sz w:val="24"/>
              </w:rPr>
            </w:pPr>
            <w:r>
              <w:rPr>
                <w:rFonts w:hint="eastAsia" w:ascii="宋体" w:hAnsi="宋体" w:cs="Arial"/>
                <w:b/>
                <w:bCs/>
                <w:color w:val="000000"/>
                <w:kern w:val="0"/>
                <w:sz w:val="24"/>
              </w:rPr>
              <w:t>实际使用数</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textAlignment w:val="auto"/>
              <w:rPr>
                <w:rFonts w:hint="eastAsia" w:ascii="宋体" w:hAnsi="宋体" w:cs="Arial"/>
                <w:b/>
                <w:bCs/>
                <w:color w:val="000000"/>
                <w:kern w:val="0"/>
                <w:sz w:val="24"/>
              </w:rPr>
            </w:pPr>
            <w:r>
              <w:rPr>
                <w:rFonts w:hint="eastAsia" w:ascii="宋体" w:hAnsi="宋体" w:cs="Arial"/>
                <w:b/>
                <w:bCs/>
                <w:color w:val="000000"/>
                <w:kern w:val="0"/>
                <w:sz w:val="24"/>
              </w:rPr>
              <w:t>年末结转和结余</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textAlignment w:val="auto"/>
              <w:rPr>
                <w:rFonts w:hint="eastAsia" w:ascii="宋体" w:hAnsi="宋体" w:cs="Arial"/>
                <w:b/>
                <w:bCs/>
                <w:color w:val="000000"/>
                <w:kern w:val="0"/>
                <w:sz w:val="24"/>
              </w:rPr>
            </w:pPr>
            <w:r>
              <w:rPr>
                <w:rFonts w:hint="eastAsia" w:ascii="宋体" w:hAnsi="宋体" w:cs="Arial"/>
                <w:b/>
                <w:bCs/>
                <w:color w:val="000000"/>
                <w:kern w:val="0"/>
                <w:sz w:val="24"/>
              </w:rPr>
              <w:t>预算执行（%）</w:t>
            </w:r>
          </w:p>
        </w:tc>
      </w:tr>
      <w:tr>
        <w:tblPrEx>
          <w:tblCellMar>
            <w:top w:w="0" w:type="dxa"/>
            <w:left w:w="108" w:type="dxa"/>
            <w:bottom w:w="0" w:type="dxa"/>
            <w:right w:w="108" w:type="dxa"/>
          </w:tblCellMar>
        </w:tblPrEx>
        <w:trPr>
          <w:trHeight w:val="255" w:hRule="atLeast"/>
        </w:trPr>
        <w:tc>
          <w:tcPr>
            <w:tcW w:w="18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Arial"/>
                <w:b/>
                <w:bCs/>
                <w:color w:val="000000"/>
                <w:kern w:val="0"/>
                <w:sz w:val="24"/>
              </w:rPr>
            </w:pPr>
          </w:p>
        </w:tc>
        <w:tc>
          <w:tcPr>
            <w:tcW w:w="1488" w:type="dxa"/>
            <w:tcBorders>
              <w:top w:val="nil"/>
              <w:left w:val="nil"/>
              <w:bottom w:val="single" w:color="auto" w:sz="4" w:space="0"/>
              <w:right w:val="single" w:color="auto" w:sz="4" w:space="0"/>
            </w:tcBorders>
            <w:vAlign w:val="center"/>
          </w:tcPr>
          <w:p>
            <w:pPr>
              <w:widowControl/>
              <w:jc w:val="center"/>
              <w:rPr>
                <w:rFonts w:hint="eastAsia" w:ascii="宋体" w:hAnsi="宋体" w:cs="Arial"/>
                <w:b/>
                <w:bCs/>
                <w:color w:val="000000"/>
                <w:kern w:val="0"/>
                <w:sz w:val="24"/>
              </w:rPr>
            </w:pPr>
            <w:r>
              <w:rPr>
                <w:rFonts w:hint="eastAsia" w:ascii="宋体" w:hAnsi="宋体" w:cs="Arial"/>
                <w:b/>
                <w:bCs/>
                <w:color w:val="000000"/>
                <w:kern w:val="0"/>
                <w:sz w:val="24"/>
              </w:rPr>
              <w:t>财政拨款</w:t>
            </w:r>
          </w:p>
        </w:tc>
        <w:tc>
          <w:tcPr>
            <w:tcW w:w="1412" w:type="dxa"/>
            <w:tcBorders>
              <w:top w:val="nil"/>
              <w:left w:val="nil"/>
              <w:bottom w:val="single" w:color="auto" w:sz="4" w:space="0"/>
              <w:right w:val="single" w:color="auto" w:sz="4" w:space="0"/>
            </w:tcBorders>
            <w:vAlign w:val="center"/>
          </w:tcPr>
          <w:p>
            <w:pPr>
              <w:widowControl/>
              <w:jc w:val="center"/>
              <w:rPr>
                <w:rFonts w:hint="eastAsia" w:ascii="宋体" w:hAnsi="宋体" w:cs="Arial"/>
                <w:b/>
                <w:bCs/>
                <w:color w:val="000000"/>
                <w:kern w:val="0"/>
                <w:sz w:val="24"/>
              </w:rPr>
            </w:pPr>
            <w:r>
              <w:rPr>
                <w:rFonts w:hint="eastAsia" w:ascii="宋体" w:hAnsi="宋体" w:cs="Arial"/>
                <w:b/>
                <w:bCs/>
                <w:color w:val="000000"/>
                <w:kern w:val="0"/>
                <w:sz w:val="24"/>
              </w:rPr>
              <w:t>合计</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Arial"/>
                <w:b/>
                <w:bCs/>
                <w:color w:val="000000"/>
                <w:kern w:val="0"/>
                <w:sz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Arial"/>
                <w:b/>
                <w:bCs/>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Arial"/>
                <w:b/>
                <w:bCs/>
                <w:color w:val="000000"/>
                <w:kern w:val="0"/>
                <w:sz w:val="24"/>
              </w:rPr>
            </w:pPr>
          </w:p>
        </w:tc>
      </w:tr>
      <w:tr>
        <w:tblPrEx>
          <w:tblCellMar>
            <w:top w:w="0" w:type="dxa"/>
            <w:left w:w="108" w:type="dxa"/>
            <w:bottom w:w="0" w:type="dxa"/>
            <w:right w:w="108" w:type="dxa"/>
          </w:tblCellMar>
        </w:tblPrEx>
        <w:trPr>
          <w:trHeight w:val="255" w:hRule="atLeast"/>
        </w:trPr>
        <w:tc>
          <w:tcPr>
            <w:tcW w:w="182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 w:val="24"/>
              </w:rPr>
            </w:pPr>
            <w:r>
              <w:rPr>
                <w:rFonts w:hint="eastAsia" w:ascii="宋体" w:hAnsi="宋体"/>
                <w:color w:val="000000"/>
                <w:kern w:val="0"/>
                <w:sz w:val="24"/>
              </w:rPr>
              <w:t>开展法治宣传</w:t>
            </w:r>
          </w:p>
        </w:tc>
        <w:tc>
          <w:tcPr>
            <w:tcW w:w="1488"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312,000.00</w:t>
            </w:r>
          </w:p>
        </w:tc>
        <w:tc>
          <w:tcPr>
            <w:tcW w:w="1412"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312,000.00</w:t>
            </w:r>
          </w:p>
        </w:tc>
        <w:tc>
          <w:tcPr>
            <w:tcW w:w="1625"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311,575.40</w:t>
            </w:r>
          </w:p>
        </w:tc>
        <w:tc>
          <w:tcPr>
            <w:tcW w:w="1350" w:type="dxa"/>
            <w:tcBorders>
              <w:top w:val="single" w:color="auto" w:sz="4" w:space="0"/>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424.60</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99.</w:t>
            </w:r>
            <w:r>
              <w:rPr>
                <w:rFonts w:hint="eastAsia" w:eastAsia="仿宋"/>
                <w:color w:val="000000"/>
                <w:kern w:val="0"/>
                <w:sz w:val="24"/>
              </w:rPr>
              <w:t>86</w:t>
            </w:r>
            <w:r>
              <w:rPr>
                <w:rFonts w:eastAsia="仿宋"/>
                <w:color w:val="000000"/>
                <w:kern w:val="0"/>
                <w:sz w:val="24"/>
              </w:rPr>
              <w:t>%</w:t>
            </w:r>
          </w:p>
        </w:tc>
      </w:tr>
      <w:tr>
        <w:tblPrEx>
          <w:tblCellMar>
            <w:top w:w="0" w:type="dxa"/>
            <w:left w:w="108" w:type="dxa"/>
            <w:bottom w:w="0" w:type="dxa"/>
            <w:right w:w="108" w:type="dxa"/>
          </w:tblCellMar>
        </w:tblPrEx>
        <w:trPr>
          <w:trHeight w:val="255" w:hRule="atLeast"/>
        </w:trPr>
        <w:tc>
          <w:tcPr>
            <w:tcW w:w="182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4"/>
              </w:rPr>
            </w:pPr>
            <w:r>
              <w:rPr>
                <w:rFonts w:hint="eastAsia" w:ascii="宋体" w:hAnsi="宋体" w:cs="Arial"/>
                <w:color w:val="000000"/>
                <w:kern w:val="0"/>
                <w:sz w:val="24"/>
              </w:rPr>
              <w:t>合计</w:t>
            </w:r>
          </w:p>
        </w:tc>
        <w:tc>
          <w:tcPr>
            <w:tcW w:w="1488"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312,000.00</w:t>
            </w:r>
          </w:p>
        </w:tc>
        <w:tc>
          <w:tcPr>
            <w:tcW w:w="1412"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312,000.00</w:t>
            </w:r>
          </w:p>
        </w:tc>
        <w:tc>
          <w:tcPr>
            <w:tcW w:w="1625" w:type="dxa"/>
            <w:tcBorders>
              <w:top w:val="nil"/>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311,575.40</w:t>
            </w:r>
          </w:p>
        </w:tc>
        <w:tc>
          <w:tcPr>
            <w:tcW w:w="1350" w:type="dxa"/>
            <w:tcBorders>
              <w:top w:val="single" w:color="auto" w:sz="4" w:space="0"/>
              <w:left w:val="nil"/>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424.60</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eastAsia="仿宋"/>
                <w:color w:val="000000"/>
                <w:kern w:val="0"/>
                <w:sz w:val="24"/>
              </w:rPr>
            </w:pPr>
            <w:r>
              <w:rPr>
                <w:rFonts w:eastAsia="仿宋"/>
                <w:color w:val="000000"/>
                <w:kern w:val="0"/>
                <w:sz w:val="24"/>
              </w:rPr>
              <w:t>99.</w:t>
            </w:r>
            <w:r>
              <w:rPr>
                <w:rFonts w:hint="eastAsia" w:eastAsia="仿宋"/>
                <w:color w:val="000000"/>
                <w:kern w:val="0"/>
                <w:sz w:val="24"/>
              </w:rPr>
              <w:t>86</w:t>
            </w:r>
            <w:r>
              <w:rPr>
                <w:rFonts w:eastAsia="仿宋"/>
                <w:color w:val="000000"/>
                <w:kern w:val="0"/>
                <w:sz w:val="24"/>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坚持以习近平新时代中国特色社会主义思想为指导，全面贯彻落实党的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大和</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届二中、三中全会精神，深入学习宣传贯彻习近平法治思想</w:t>
      </w:r>
      <w:r>
        <w:rPr>
          <w:rFonts w:hint="eastAsia" w:ascii="仿宋_GB2312" w:hAnsi="仿宋_GB2312" w:eastAsia="仿宋_GB2312" w:cs="仿宋_GB2312"/>
          <w:sz w:val="32"/>
          <w:szCs w:val="32"/>
          <w:lang w:eastAsia="zh-CN"/>
        </w:rPr>
        <w:t>和总体国家安全观</w:t>
      </w:r>
      <w:r>
        <w:rPr>
          <w:rFonts w:hint="eastAsia" w:ascii="仿宋_GB2312" w:hAnsi="仿宋_GB2312" w:eastAsia="仿宋_GB2312" w:cs="仿宋_GB2312"/>
          <w:sz w:val="32"/>
          <w:szCs w:val="32"/>
        </w:rPr>
        <w:t>，增强“四个意识”、坚定“四个自信”、做到“两个维护”，加强习近平法治思想的宣传阐释，推动党的创新理论落地生根，邀请百名“全国杰出青年法学家”作百场报告会、开展</w:t>
      </w:r>
      <w:r>
        <w:rPr>
          <w:rFonts w:hint="eastAsia" w:ascii="仿宋_GB2312" w:hAnsi="仿宋_GB2312" w:eastAsia="仿宋_GB2312" w:cs="仿宋_GB2312"/>
          <w:sz w:val="32"/>
          <w:szCs w:val="32"/>
          <w:lang w:eastAsia="zh-CN"/>
        </w:rPr>
        <w:t>“青年普法志愿者</w:t>
      </w:r>
      <w:r>
        <w:rPr>
          <w:rFonts w:hint="eastAsia" w:ascii="仿宋_GB2312" w:hAnsi="仿宋_GB2312" w:eastAsia="仿宋_GB2312" w:cs="仿宋_GB2312"/>
          <w:sz w:val="32"/>
          <w:szCs w:val="32"/>
        </w:rPr>
        <w:t>法治文化基层行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加强与媒体的联系合作，加大推送数量和频率，提升传播力和引导力，与学会媒体资源形成正面宣传的联动效应讲好法治故事，做好法治宣传，切实提高法治宣讲针对性、实效性、普惠性，准确把握新发展阶段，深入贯彻新发展理念，加快构建新发展格局，为确保“十四五”</w:t>
      </w:r>
      <w:r>
        <w:rPr>
          <w:rFonts w:hint="eastAsia" w:ascii="仿宋_GB2312" w:hAnsi="仿宋_GB2312" w:eastAsia="仿宋_GB2312" w:cs="仿宋_GB2312"/>
          <w:sz w:val="32"/>
          <w:szCs w:val="32"/>
          <w:lang w:eastAsia="zh-CN"/>
        </w:rPr>
        <w:t>规划圆满收官、高起点高站位谋划好“十五五”规划，</w:t>
      </w:r>
      <w:r>
        <w:rPr>
          <w:rFonts w:hint="eastAsia" w:ascii="仿宋_GB2312" w:hAnsi="仿宋_GB2312" w:eastAsia="仿宋_GB2312" w:cs="仿宋_GB2312"/>
          <w:sz w:val="32"/>
          <w:szCs w:val="32"/>
        </w:rPr>
        <w:t>为建设法治中国“首善之区”营造良好法治环境、提供有力的法治保障。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为深化全过程预算绩效管理，促进预算部门提高成本绩效意识，提高预算执行效率和资金使用效益，根据《北京市项目支出绩效评价管理办法》(京财绩效〔2020〕2146号)及《北京市财政局关于2025年预算管理工作的通知》(京财绩效〔2025〕245号)等文件规定，市法学会成立绩效评价工作组，对2024年开展法治宣传项目进行了绩效评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（二）绩效评价原则、评价指标体系（附表说明）、评价方法、评价标准等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财政支出绩效评价是客观评价，所有用来评价的指标均可量化，所有参与评价的单位和个人都必须遵循评价价值中立原则，即财政支出绩效评价结果，只取决于各项目实施主体的工作业绩的客观实际，而不取决于评价人的价值判断和个人意愿。评价结果不会因为评价人价值观念的不一致而有所不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（2）公正公开原则。绩效评价应当符合真实、客观、公正的要求，依法公开并接受监督。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（3）绩效相关原则。绩效评价应当针对具体支出及其产出绩效进行，评价结果应当清晰反映支出和产出绩效之间的紧密对应关系。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2.评价指标体系及评价标准</w:t>
      </w:r>
    </w:p>
    <w:tbl>
      <w:tblPr>
        <w:tblStyle w:val="4"/>
        <w:tblW w:w="0" w:type="auto"/>
        <w:jc w:val="center"/>
        <w:tblLayout w:type="fixed"/>
        <w:tblCellMar>
          <w:top w:w="0" w:type="dxa"/>
          <w:left w:w="108" w:type="dxa"/>
          <w:bottom w:w="0" w:type="dxa"/>
          <w:right w:w="108" w:type="dxa"/>
        </w:tblCellMar>
      </w:tblPr>
      <w:tblGrid>
        <w:gridCol w:w="1432"/>
        <w:gridCol w:w="1432"/>
        <w:gridCol w:w="1432"/>
        <w:gridCol w:w="2362"/>
        <w:gridCol w:w="747"/>
      </w:tblGrid>
      <w:tr>
        <w:tblPrEx>
          <w:tblCellMar>
            <w:top w:w="0" w:type="dxa"/>
            <w:left w:w="108" w:type="dxa"/>
            <w:bottom w:w="0" w:type="dxa"/>
            <w:right w:w="108" w:type="dxa"/>
          </w:tblCellMar>
        </w:tblPrEx>
        <w:trPr>
          <w:trHeight w:val="600"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名称</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一级</w:t>
            </w:r>
          </w:p>
        </w:tc>
        <w:tc>
          <w:tcPr>
            <w:tcW w:w="143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二级</w:t>
            </w:r>
          </w:p>
        </w:tc>
        <w:tc>
          <w:tcPr>
            <w:tcW w:w="236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三级</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分值</w:t>
            </w:r>
          </w:p>
        </w:tc>
      </w:tr>
      <w:tr>
        <w:tblPrEx>
          <w:tblCellMar>
            <w:top w:w="0" w:type="dxa"/>
            <w:left w:w="108" w:type="dxa"/>
            <w:bottom w:w="0" w:type="dxa"/>
            <w:right w:w="108" w:type="dxa"/>
          </w:tblCellMar>
        </w:tblPrEx>
        <w:trPr>
          <w:trHeight w:val="600" w:hRule="atLeast"/>
          <w:jc w:val="center"/>
        </w:trPr>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绩效指标</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产出指标</w:t>
            </w:r>
          </w:p>
        </w:tc>
        <w:tc>
          <w:tcPr>
            <w:tcW w:w="1432" w:type="dxa"/>
            <w:vMerge w:val="restart"/>
            <w:tcBorders>
              <w:top w:val="nil"/>
              <w:left w:val="nil"/>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数量指标</w:t>
            </w:r>
          </w:p>
        </w:tc>
        <w:tc>
          <w:tcPr>
            <w:tcW w:w="2362"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rPr>
              <w:t>指标1：双百宣讲及法治文化基层行</w:t>
            </w:r>
          </w:p>
        </w:tc>
        <w:tc>
          <w:tcPr>
            <w:tcW w:w="747"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rPr>
              <w:t>20</w:t>
            </w:r>
          </w:p>
        </w:tc>
      </w:tr>
      <w:tr>
        <w:tblPrEx>
          <w:tblCellMar>
            <w:top w:w="0" w:type="dxa"/>
            <w:left w:w="108" w:type="dxa"/>
            <w:bottom w:w="0" w:type="dxa"/>
            <w:right w:w="108" w:type="dxa"/>
          </w:tblCellMar>
        </w:tblPrEx>
        <w:trPr>
          <w:trHeight w:val="52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vMerge w:val="continue"/>
            <w:tcBorders>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236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rPr>
              <w:t>指标2：重大活动报道</w:t>
            </w:r>
          </w:p>
        </w:tc>
        <w:tc>
          <w:tcPr>
            <w:tcW w:w="74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rPr>
              <w:t>20</w:t>
            </w:r>
          </w:p>
        </w:tc>
      </w:tr>
      <w:tr>
        <w:tblPrEx>
          <w:tblCellMar>
            <w:top w:w="0" w:type="dxa"/>
            <w:left w:w="108" w:type="dxa"/>
            <w:bottom w:w="0" w:type="dxa"/>
            <w:right w:w="108" w:type="dxa"/>
          </w:tblCellMar>
        </w:tblPrEx>
        <w:trPr>
          <w:trHeight w:val="505"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质量指标</w:t>
            </w:r>
          </w:p>
        </w:tc>
        <w:tc>
          <w:tcPr>
            <w:tcW w:w="2362"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747"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r>
      <w:tr>
        <w:tblPrEx>
          <w:tblCellMar>
            <w:top w:w="0" w:type="dxa"/>
            <w:left w:w="108" w:type="dxa"/>
            <w:bottom w:w="0" w:type="dxa"/>
            <w:right w:w="108" w:type="dxa"/>
          </w:tblCellMar>
        </w:tblPrEx>
        <w:trPr>
          <w:trHeight w:val="535"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时效指标</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r>
      <w:tr>
        <w:tblPrEx>
          <w:tblCellMar>
            <w:top w:w="0" w:type="dxa"/>
            <w:left w:w="108" w:type="dxa"/>
            <w:bottom w:w="0" w:type="dxa"/>
            <w:right w:w="108" w:type="dxa"/>
          </w:tblCellMar>
        </w:tblPrEx>
        <w:trPr>
          <w:trHeight w:val="49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kern w:val="0"/>
                <w:szCs w:val="21"/>
              </w:rPr>
            </w:pPr>
            <w:r>
              <w:rPr>
                <w:rFonts w:hint="eastAsia" w:ascii="宋体" w:cs="宋体"/>
                <w:color w:val="000000"/>
                <w:kern w:val="0"/>
                <w:szCs w:val="21"/>
              </w:rPr>
              <w:t>成本指标</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rPr>
              <w:t>指标1：宣传经费</w:t>
            </w:r>
          </w:p>
        </w:tc>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rPr>
              <w:t>20</w:t>
            </w:r>
          </w:p>
        </w:tc>
      </w:tr>
      <w:tr>
        <w:tblPrEx>
          <w:tblCellMar>
            <w:top w:w="0" w:type="dxa"/>
            <w:left w:w="108" w:type="dxa"/>
            <w:bottom w:w="0" w:type="dxa"/>
            <w:right w:w="108" w:type="dxa"/>
          </w:tblCellMar>
        </w:tblPrEx>
        <w:trPr>
          <w:trHeight w:val="60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效益指标</w:t>
            </w:r>
          </w:p>
        </w:tc>
        <w:tc>
          <w:tcPr>
            <w:tcW w:w="1432"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经济效益指标</w:t>
            </w:r>
          </w:p>
        </w:tc>
        <w:tc>
          <w:tcPr>
            <w:tcW w:w="2362"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社会效益指标</w:t>
            </w:r>
          </w:p>
        </w:tc>
        <w:tc>
          <w:tcPr>
            <w:tcW w:w="2362"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rPr>
              <w:t>指标1：营造法治环境</w:t>
            </w:r>
          </w:p>
        </w:tc>
        <w:tc>
          <w:tcPr>
            <w:tcW w:w="747"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20</w:t>
            </w:r>
          </w:p>
        </w:tc>
      </w:tr>
      <w:tr>
        <w:tblPrEx>
          <w:tblCellMar>
            <w:top w:w="0" w:type="dxa"/>
            <w:left w:w="108" w:type="dxa"/>
            <w:bottom w:w="0" w:type="dxa"/>
            <w:right w:w="108" w:type="dxa"/>
          </w:tblCellMar>
        </w:tblPrEx>
        <w:trPr>
          <w:trHeight w:val="60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1432" w:type="dxa"/>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生态效益指标</w:t>
            </w:r>
          </w:p>
        </w:tc>
        <w:tc>
          <w:tcPr>
            <w:tcW w:w="2362"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c>
          <w:tcPr>
            <w:tcW w:w="747"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32" w:type="dxa"/>
            <w:tcBorders>
              <w:top w:val="single" w:color="000000" w:sz="4" w:space="0"/>
              <w:left w:val="single" w:color="auto" w:sz="4" w:space="0"/>
              <w:bottom w:val="single" w:color="auto" w:sz="4" w:space="0"/>
              <w:right w:val="single" w:color="auto" w:sz="4" w:space="0"/>
            </w:tcBorders>
            <w:vAlign w:val="center"/>
          </w:tcPr>
          <w:p>
            <w:pPr>
              <w:jc w:val="center"/>
              <w:rPr>
                <w:rFonts w:ascii="宋体" w:cs="宋体"/>
                <w:color w:val="000000"/>
                <w:kern w:val="0"/>
                <w:szCs w:val="21"/>
              </w:rPr>
            </w:pPr>
            <w:r>
              <w:rPr>
                <w:rFonts w:hint="eastAsia" w:ascii="宋体" w:cs="宋体"/>
                <w:color w:val="000000"/>
                <w:kern w:val="0"/>
                <w:szCs w:val="21"/>
              </w:rPr>
              <w:t>可持续影响指标</w:t>
            </w:r>
          </w:p>
        </w:tc>
        <w:tc>
          <w:tcPr>
            <w:tcW w:w="236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74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600" w:hRule="atLeast"/>
          <w:jc w:val="center"/>
        </w:trPr>
        <w:tc>
          <w:tcPr>
            <w:tcW w:w="1432" w:type="dxa"/>
            <w:vMerge w:val="continue"/>
            <w:tcBorders>
              <w:top w:val="single" w:color="auto" w:sz="4" w:space="0"/>
              <w:left w:val="single" w:color="auto" w:sz="4" w:space="0"/>
              <w:bottom w:val="single" w:color="000000" w:sz="4" w:space="0"/>
              <w:right w:val="single" w:color="auto" w:sz="4" w:space="0"/>
            </w:tcBorders>
          </w:tcPr>
          <w:p>
            <w:pPr>
              <w:widowControl/>
              <w:jc w:val="left"/>
              <w:rPr>
                <w:rFonts w:ascii="宋体" w:cs="宋体"/>
                <w:color w:val="000000"/>
                <w:kern w:val="0"/>
                <w:szCs w:val="21"/>
              </w:rPr>
            </w:pPr>
          </w:p>
        </w:tc>
        <w:tc>
          <w:tcPr>
            <w:tcW w:w="1432"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r>
              <w:rPr>
                <w:rFonts w:hint="eastAsia" w:ascii="宋体" w:cs="宋体"/>
                <w:color w:val="000000"/>
                <w:kern w:val="0"/>
                <w:szCs w:val="21"/>
              </w:rPr>
              <w:t>满意度指标</w:t>
            </w:r>
          </w:p>
        </w:tc>
        <w:tc>
          <w:tcPr>
            <w:tcW w:w="1432"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服务对象满意度指标</w:t>
            </w:r>
          </w:p>
        </w:tc>
        <w:tc>
          <w:tcPr>
            <w:tcW w:w="2362"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rPr>
              <w:t>指标1：宣传效果</w:t>
            </w:r>
          </w:p>
        </w:tc>
        <w:tc>
          <w:tcPr>
            <w:tcW w:w="747"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10</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3.评价方法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采取资料收集、数据统计、座谈研讨、民主评议等方式，</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对照绩效指标进行评价。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通过专题会议，明确预算项目资金使用的责任处室。各部门积极配合绩效评价工作，对所使用的财政性资金使用过程、使用效益等开展全面评价。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三、综合评价情况及评价结论（附相关评分表）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经综合评价，开展法治宣传项目96分，等级为优。评分表见附表。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开展法治宣传为经常性项目，项目立项符合单位和市法学会的职能，符合社会主义法治建设需要。项目立项过程符合市财政、市法学会的规定。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项目资金预算编制符合市财政、市法学会的相关规定，内容细化充分，执行和调整程序符合财政部门规定。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开展法治宣传为经常性项目，单位有着丰富的组织实施经验。充分借助首都高端法学法律专家资源，精心挑选法学专家深入各区各系统。围绕学习宣传贯彻党的二十大及二十届</w:t>
      </w:r>
      <w:r>
        <w:rPr>
          <w:rFonts w:hint="eastAsia" w:ascii="仿宋_GB2312" w:hAnsi="仿宋_GB2312" w:eastAsia="仿宋_GB2312" w:cs="仿宋_GB2312"/>
          <w:sz w:val="32"/>
          <w:szCs w:val="32"/>
          <w:lang w:eastAsia="zh-CN"/>
        </w:rPr>
        <w:t>二中、</w:t>
      </w:r>
      <w:r>
        <w:rPr>
          <w:rFonts w:hint="eastAsia" w:ascii="仿宋_GB2312" w:hAnsi="仿宋_GB2312" w:eastAsia="仿宋_GB2312" w:cs="仿宋_GB2312"/>
          <w:sz w:val="32"/>
          <w:szCs w:val="32"/>
        </w:rPr>
        <w:t>三中全会精神、习近平法治思想、宪法、《民法典》、《中国共产党政法工作条例》等重大主题，开展深入且具针对性的宣传活动。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极开展“双百”活动。加强合作谋划。加强横向协作，密切协调联系，与其他五家“双百”组委会各成员单位共同会商研提年度活动方案。强化顶层设计，年初即要求各成员单位在制定本系统本领域全年重点工作尤其是关于宣传舆论工作规划时，将“双百”活动纳入工作计划。加大推进力度。2024年，根据各区法学会实际需求，充分利用首都高端法学法律专家汇聚的区位优势，精心遴选法学专家深入各区各系统围绕学习宣传贯彻党的二十大精神及党的二十届三中全会精神、习近平法治思想、宪法、《民法典》、《中国共产党政法工作条例》等重大主题开展深入系统、有针对性的宣传解读，推动“双百”活动多点开花、有序开展，不断强化思想引领，凝聚社会共识，构筑精神力量，赢得各个区的高度好评。16区法学会全年开展“双百”法治宣讲活动近百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推进“基层行”活动。坚持高位谋划。联合市司法局、团市委成立活动领导小组，印发实施方案，明确职责分工，确定重点宣讲专题、宣讲内容和场次，建立日常沟通、协调指导等常态化工作机制，加强对各自行业领域基层行的推动落实，形成强大工作阵容，着力推动“基层行”在全市范围内深入开展。坚持高点部署。把“基层行”作为发挥法学资源与人才优势服务法治建设、创新社会治理、维护社会稳定的重要举措，纳入年度总体工作部署，通过总结以往经验、布置今年任务、等形式，全面精准将基层行工作重点传递到各区各系统。坚持高效推进。牢牢树立“立足于基层、服务于群众”的理念，因地制宜，强调宣传活动的针对性和实效性，突出“青年志愿者”和“基层群众”这两个重点群体，使基层群众受到法治教育，使青年志愿者在实践中进一步了解基层、民情和社情。全年推动各区法学会先后组织15000余人次志愿者，开展普法宣传、法律服务、法治宣讲等线上线下各类活动11000余场次，受众428万余人次，形成了“基层行”活动百花齐放的良好局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主与法制时报》以《北京市法学会党组理论学习中心组开创工作新局面》为题在2024年1月19日头版进行了报道。北京机关党建公众号2024年1月8日刊登了市法学会党组成员学习贯彻落实“中国共产党北京市第十三届委员会第四次全体会议精神，做好2024年法学会工作”交流研讨的相关内容。2024年1月18日该公众号刊登了党组成员“学习习近平总书记在二十届中共中央政治局第十次集体学习时重要讲话精神”的相关内容。2024年1月25日该公众号刊登了党组成员“学习习近平总书记在中央经济工作会议上重要讲话精神”的相关内容。2024年3月20日刊登了党组成员学习《中国共产党纪律处分条例》的相关内容。2024年4月8日刊登了学会党组成员到清华大学法学院开展刑事诉讼法司法解释及相关文件适用情况专题调研座谈会的相关内容。2024年5月10日刊登了党组成员围绕学习贯彻落实“强化党纪学习教育，推动全面从严治党向纵深发展”为主题进行专题学习研讨情况。2024年7月25日刊登了党组成员学习贯彻党的二十届三中全会的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通过系列宣讲，强化了思想引领，在社会各界凝聚起广泛的法治共识，推动广大干部群众深入理解重大法治主题内涵，促进法治理念深入人心，为法治社会建设筑牢思想根基。  活动受众覆盖428万余人次，形成了百花齐放的良好局面。切实将法律服务与法治知识送到基层群众身边，提升了基层群众的法律意识与法治素养，有效满足群众法律需求，助力基层社会治理法治化水平提升。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rPr>
        <w:t>（</w:t>
      </w:r>
      <w:r>
        <w:rPr>
          <w:rFonts w:hint="eastAsia" w:ascii="楷体_GB2312" w:hAnsi="楷体_GB2312" w:eastAsia="楷体_GB2312" w:cs="楷体_GB2312"/>
          <w:sz w:val="32"/>
          <w:szCs w:val="32"/>
        </w:rPr>
        <w:t>一）主要经验做法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领导重视是改进工作的关键。学会党组高度重视绩效管理工作，多次在党组（扩大）会、会长办公（扩大）会强调，各部门要增强预算绩效意识，不断完善绩效目标管理，办公室财务在监督预算执行的同时，要加强绩效监控，发现问题及时提醒改进，切实提高资金使用效益。</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存在问题及原因分析</w:t>
      </w:r>
    </w:p>
    <w:p>
      <w:pPr>
        <w:keepNext w:val="0"/>
        <w:keepLines w:val="0"/>
        <w:pageBreakBefore w:val="0"/>
        <w:widowControl w:val="0"/>
        <w:numPr>
          <w:ilvl w:val="255"/>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设置不够细化，部分指标设置不够合理。开展法治宣传项目支出的绩效目标存在细化分解程度不够高的现象，其经济效益指标、环境效益指标、服务对象满意度指标均未明确具体指标，建议今后目标应更加细化和量化。</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六、有关建议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调整和细化绩效指标，按照市财政局相关文件的规定，从数量、质量、成本和时效等方面细化绩效指标，尽量进行定量表述，不能以量化形式表述的，可以采用定性的分级分档形式表述。如对社会效益细化量化到政治导向、受众反映、社会影响、成果应用等具体指标中，形成对社会效益的可量化、可核查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七、其他需要说明的问题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rPr>
        <w:sectPr>
          <w:footerReference r:id="rId5" w:type="default"/>
          <w:pgSz w:w="11906" w:h="16838"/>
          <w:pgMar w:top="1440" w:right="1800" w:bottom="1440" w:left="1800" w:header="851" w:footer="992" w:gutter="0"/>
          <w:cols w:space="425" w:num="1"/>
          <w:docGrid w:type="lines" w:linePitch="312" w:charSpace="0"/>
        </w:sectPr>
      </w:pPr>
    </w:p>
    <w:p>
      <w:pPr>
        <w:tabs>
          <w:tab w:val="left" w:pos="3261"/>
        </w:tabs>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202</w:t>
      </w:r>
      <w:r>
        <w:rPr>
          <w:rFonts w:hint="eastAsia" w:ascii="仿宋_GB2312" w:hAnsi="宋体" w:eastAsia="仿宋_GB2312"/>
          <w:sz w:val="28"/>
          <w:szCs w:val="28"/>
        </w:rPr>
        <w:t>4 年度）</w:t>
      </w:r>
    </w:p>
    <w:tbl>
      <w:tblPr>
        <w:tblStyle w:val="4"/>
        <w:tblW w:w="9209" w:type="dxa"/>
        <w:jc w:val="center"/>
        <w:tblLayout w:type="fixed"/>
        <w:tblCellMar>
          <w:top w:w="0" w:type="dxa"/>
          <w:left w:w="108" w:type="dxa"/>
          <w:bottom w:w="0" w:type="dxa"/>
          <w:right w:w="108" w:type="dxa"/>
        </w:tblCellMar>
      </w:tblPr>
      <w:tblGrid>
        <w:gridCol w:w="551"/>
        <w:gridCol w:w="767"/>
        <w:gridCol w:w="1156"/>
        <w:gridCol w:w="657"/>
        <w:gridCol w:w="1040"/>
        <w:gridCol w:w="1045"/>
        <w:gridCol w:w="869"/>
        <w:gridCol w:w="330"/>
        <w:gridCol w:w="300"/>
        <w:gridCol w:w="215"/>
        <w:gridCol w:w="385"/>
        <w:gridCol w:w="558"/>
        <w:gridCol w:w="1017"/>
        <w:gridCol w:w="319"/>
      </w:tblGrid>
      <w:tr>
        <w:tblPrEx>
          <w:tblCellMar>
            <w:top w:w="0" w:type="dxa"/>
            <w:left w:w="108" w:type="dxa"/>
            <w:bottom w:w="0" w:type="dxa"/>
            <w:right w:w="108" w:type="dxa"/>
          </w:tblCellMar>
        </w:tblPrEx>
        <w:trPr>
          <w:gridAfter w:val="1"/>
          <w:wAfter w:w="319" w:type="dxa"/>
          <w:trHeight w:val="306" w:hRule="exac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72"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开展法治宣传</w:t>
            </w:r>
          </w:p>
        </w:tc>
      </w:tr>
      <w:tr>
        <w:tblPrEx>
          <w:tblCellMar>
            <w:top w:w="0" w:type="dxa"/>
            <w:left w:w="108" w:type="dxa"/>
            <w:bottom w:w="0" w:type="dxa"/>
            <w:right w:w="108" w:type="dxa"/>
          </w:tblCellMar>
        </w:tblPrEx>
        <w:trPr>
          <w:gridAfter w:val="1"/>
          <w:wAfter w:w="319" w:type="dxa"/>
          <w:trHeight w:val="306" w:hRule="exac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89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北京市法学会</w:t>
            </w: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北京市法学会（本级）</w:t>
            </w:r>
          </w:p>
        </w:tc>
      </w:tr>
      <w:tr>
        <w:tblPrEx>
          <w:tblCellMar>
            <w:top w:w="0" w:type="dxa"/>
            <w:left w:w="108" w:type="dxa"/>
            <w:bottom w:w="0" w:type="dxa"/>
            <w:right w:w="108" w:type="dxa"/>
          </w:tblCellMar>
        </w:tblPrEx>
        <w:trPr>
          <w:gridAfter w:val="1"/>
          <w:wAfter w:w="319" w:type="dxa"/>
          <w:trHeight w:val="567" w:hRule="exact"/>
          <w:jc w:val="center"/>
        </w:trPr>
        <w:tc>
          <w:tcPr>
            <w:tcW w:w="13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年初预算数</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全年预算数</w:t>
            </w: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全年执行数</w:t>
            </w:r>
          </w:p>
        </w:tc>
        <w:tc>
          <w:tcPr>
            <w:tcW w:w="5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01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319" w:type="dxa"/>
          <w:trHeight w:val="306" w:hRule="exact"/>
          <w:jc w:val="center"/>
        </w:trPr>
        <w:tc>
          <w:tcPr>
            <w:tcW w:w="13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1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w:t>
            </w:r>
            <w:r>
              <w:rPr>
                <w:rFonts w:ascii="仿宋_GB2312" w:hAnsi="宋体" w:eastAsia="仿宋_GB2312" w:cs="宋体"/>
                <w:kern w:val="0"/>
                <w:szCs w:val="21"/>
              </w:rPr>
              <w:t>.2</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w:t>
            </w:r>
            <w:r>
              <w:rPr>
                <w:rFonts w:ascii="仿宋_GB2312" w:hAnsi="宋体" w:eastAsia="仿宋_GB2312" w:cs="宋体"/>
                <w:kern w:val="0"/>
                <w:szCs w:val="21"/>
              </w:rPr>
              <w:t>.2</w:t>
            </w: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31.16</w:t>
            </w:r>
          </w:p>
        </w:tc>
        <w:tc>
          <w:tcPr>
            <w:tcW w:w="5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9.</w:t>
            </w:r>
            <w:r>
              <w:rPr>
                <w:rFonts w:hint="eastAsia" w:ascii="仿宋_GB2312" w:hAnsi="宋体" w:eastAsia="仿宋_GB2312" w:cs="宋体"/>
                <w:kern w:val="0"/>
                <w:szCs w:val="21"/>
              </w:rPr>
              <w:t>86</w:t>
            </w:r>
            <w:r>
              <w:rPr>
                <w:rFonts w:ascii="仿宋_GB2312" w:hAnsi="宋体" w:eastAsia="仿宋_GB2312" w:cs="宋体"/>
                <w:kern w:val="0"/>
                <w:szCs w:val="21"/>
              </w:rPr>
              <w:t>%</w:t>
            </w:r>
          </w:p>
        </w:tc>
        <w:tc>
          <w:tcPr>
            <w:tcW w:w="101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319" w:type="dxa"/>
          <w:trHeight w:val="601" w:hRule="exact"/>
          <w:jc w:val="center"/>
        </w:trPr>
        <w:tc>
          <w:tcPr>
            <w:tcW w:w="13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w:t>
            </w:r>
            <w:r>
              <w:rPr>
                <w:rFonts w:ascii="仿宋_GB2312" w:hAnsi="宋体" w:eastAsia="仿宋_GB2312" w:cs="宋体"/>
                <w:kern w:val="0"/>
                <w:szCs w:val="21"/>
              </w:rPr>
              <w:t>.2</w:t>
            </w: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w:t>
            </w:r>
            <w:r>
              <w:rPr>
                <w:rFonts w:ascii="仿宋_GB2312" w:hAnsi="宋体" w:eastAsia="仿宋_GB2312" w:cs="宋体"/>
                <w:kern w:val="0"/>
                <w:szCs w:val="21"/>
              </w:rPr>
              <w:t>.2</w:t>
            </w: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31.16</w:t>
            </w:r>
          </w:p>
        </w:tc>
        <w:tc>
          <w:tcPr>
            <w:tcW w:w="5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1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319" w:type="dxa"/>
          <w:trHeight w:val="567" w:hRule="exact"/>
          <w:jc w:val="center"/>
        </w:trPr>
        <w:tc>
          <w:tcPr>
            <w:tcW w:w="13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1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319" w:type="dxa"/>
          <w:trHeight w:val="306" w:hRule="exact"/>
          <w:jc w:val="center"/>
        </w:trPr>
        <w:tc>
          <w:tcPr>
            <w:tcW w:w="13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4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1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319" w:type="dxa"/>
          <w:trHeight w:val="548" w:hRule="exact"/>
          <w:jc w:val="center"/>
        </w:trPr>
        <w:tc>
          <w:tcPr>
            <w:tcW w:w="55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66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7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4348" w:hRule="exact"/>
          <w:jc w:val="center"/>
        </w:trPr>
        <w:tc>
          <w:tcPr>
            <w:tcW w:w="5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665"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坚持以习近平新时代中国特色社会主义思想为指导，全面贯彻落实党的</w:t>
            </w:r>
            <w:r>
              <w:rPr>
                <w:rFonts w:hint="eastAsia" w:ascii="仿宋_GB2312" w:hAnsi="宋体" w:eastAsia="仿宋_GB2312" w:cs="宋体"/>
                <w:kern w:val="0"/>
                <w:szCs w:val="21"/>
                <w:lang w:eastAsia="zh-CN"/>
              </w:rPr>
              <w:t>二十</w:t>
            </w:r>
            <w:r>
              <w:rPr>
                <w:rFonts w:hint="eastAsia" w:ascii="仿宋_GB2312" w:hAnsi="宋体" w:eastAsia="仿宋_GB2312" w:cs="宋体"/>
                <w:kern w:val="0"/>
                <w:szCs w:val="21"/>
              </w:rPr>
              <w:t>大和</w:t>
            </w:r>
            <w:r>
              <w:rPr>
                <w:rFonts w:hint="eastAsia" w:ascii="仿宋_GB2312" w:hAnsi="宋体" w:eastAsia="仿宋_GB2312" w:cs="宋体"/>
                <w:kern w:val="0"/>
                <w:szCs w:val="21"/>
                <w:lang w:eastAsia="zh-CN"/>
              </w:rPr>
              <w:t>二十</w:t>
            </w:r>
            <w:r>
              <w:rPr>
                <w:rFonts w:hint="eastAsia" w:ascii="仿宋_GB2312" w:hAnsi="宋体" w:eastAsia="仿宋_GB2312" w:cs="宋体"/>
                <w:kern w:val="0"/>
                <w:szCs w:val="21"/>
              </w:rPr>
              <w:t>届二中、三中全会精神，深入学习宣传贯</w:t>
            </w:r>
            <w:bookmarkStart w:id="0" w:name="_GoBack"/>
            <w:bookmarkEnd w:id="0"/>
            <w:r>
              <w:rPr>
                <w:rFonts w:hint="eastAsia" w:ascii="仿宋_GB2312" w:hAnsi="宋体" w:eastAsia="仿宋_GB2312" w:cs="宋体"/>
                <w:kern w:val="0"/>
                <w:szCs w:val="21"/>
              </w:rPr>
              <w:t>彻习近平法治思想，加强习近平法治思想的宣传阐释，推动党的创新理论落地生根，邀请百名“全国杰出青年法学家”作百场报告会、开展法治文化基层行活动、加强与法治媒体的联系合作，加大推送数量和频率，提升传播力和引导力，与学会媒体资源形成正面宣传的联动效应讲好法治故事，做好法治宣传，切实提高法治宣讲针对性、实效性、普惠性，准确把握新发展阶段，深入贯彻新发展理念，加快构建新发展格局，为确保“十四五”开好局起好步、为建设法治中国“首善之区”营造良好法治环境、提供有力的法治保障。</w:t>
            </w:r>
          </w:p>
        </w:tc>
        <w:tc>
          <w:tcPr>
            <w:tcW w:w="367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319" w:type="dxa"/>
          </w:tcPr>
          <w:p>
            <w:pPr>
              <w:widowControl/>
              <w:jc w:val="left"/>
            </w:pPr>
          </w:p>
        </w:tc>
      </w:tr>
      <w:tr>
        <w:tblPrEx>
          <w:tblCellMar>
            <w:top w:w="0" w:type="dxa"/>
            <w:left w:w="108" w:type="dxa"/>
            <w:bottom w:w="0" w:type="dxa"/>
            <w:right w:w="108" w:type="dxa"/>
          </w:tblCellMar>
        </w:tblPrEx>
        <w:trPr>
          <w:gridAfter w:val="1"/>
          <w:wAfter w:w="319" w:type="dxa"/>
          <w:trHeight w:val="830" w:hRule="exact"/>
          <w:jc w:val="center"/>
        </w:trPr>
        <w:tc>
          <w:tcPr>
            <w:tcW w:w="5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5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gridAfter w:val="1"/>
          <w:wAfter w:w="319" w:type="dxa"/>
          <w:trHeight w:val="63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5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指标1：双百宣讲及法治文化基层行</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场次</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28</w:t>
            </w:r>
            <w:r>
              <w:rPr>
                <w:rFonts w:hint="eastAsia" w:ascii="仿宋_GB2312" w:hAnsi="宋体" w:eastAsia="仿宋_GB2312" w:cs="宋体"/>
                <w:kern w:val="0"/>
                <w:sz w:val="18"/>
                <w:szCs w:val="18"/>
              </w:rPr>
              <w:t>场</w:t>
            </w:r>
            <w:r>
              <w:rPr>
                <w:rFonts w:hint="eastAsia" w:ascii="仿宋_GB2312" w:hAnsi="宋体" w:eastAsia="仿宋_GB2312" w:cs="宋体"/>
                <w:kern w:val="0"/>
                <w:sz w:val="18"/>
                <w:szCs w:val="18"/>
                <w:lang w:eastAsia="zh-CN"/>
              </w:rPr>
              <w:t>次</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指标2：重大活动报道</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≥3项</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yellow"/>
              </w:rPr>
            </w:pP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yellow"/>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yellow"/>
              </w:rPr>
            </w:pP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yellow"/>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指标1：宣传经费</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≤31.2万</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31.16万</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85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655"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指标1：营造法治环境</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好坏</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好</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指标值设定未量化</w:t>
            </w:r>
          </w:p>
        </w:tc>
      </w:tr>
      <w:tr>
        <w:tblPrEx>
          <w:tblCellMar>
            <w:top w:w="0" w:type="dxa"/>
            <w:left w:w="108" w:type="dxa"/>
            <w:bottom w:w="0" w:type="dxa"/>
            <w:right w:w="108" w:type="dxa"/>
          </w:tblCellMar>
        </w:tblPrEx>
        <w:trPr>
          <w:gridAfter w:val="1"/>
          <w:wAfter w:w="319" w:type="dxa"/>
          <w:trHeight w:val="715"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p>
        </w:tc>
      </w:tr>
      <w:tr>
        <w:tblPrEx>
          <w:tblCellMar>
            <w:top w:w="0" w:type="dxa"/>
            <w:left w:w="108" w:type="dxa"/>
            <w:bottom w:w="0" w:type="dxa"/>
            <w:right w:w="108" w:type="dxa"/>
          </w:tblCellMar>
        </w:tblPrEx>
        <w:trPr>
          <w:gridAfter w:val="1"/>
          <w:wAfter w:w="319" w:type="dxa"/>
          <w:trHeight w:val="510" w:hRule="exac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p>
        </w:tc>
        <w:tc>
          <w:tcPr>
            <w:tcW w:w="1697"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指标1：宣传效果</w:t>
            </w:r>
          </w:p>
        </w:tc>
        <w:tc>
          <w:tcPr>
            <w:tcW w:w="10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好坏</w:t>
            </w:r>
          </w:p>
        </w:tc>
        <w:tc>
          <w:tcPr>
            <w:tcW w:w="86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好</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指标值设定未量化</w:t>
            </w:r>
          </w:p>
        </w:tc>
      </w:tr>
      <w:tr>
        <w:tblPrEx>
          <w:tblCellMar>
            <w:top w:w="0" w:type="dxa"/>
            <w:left w:w="108" w:type="dxa"/>
            <w:bottom w:w="0" w:type="dxa"/>
            <w:right w:w="108" w:type="dxa"/>
          </w:tblCellMar>
        </w:tblPrEx>
        <w:trPr>
          <w:gridAfter w:val="1"/>
          <w:wAfter w:w="319" w:type="dxa"/>
          <w:trHeight w:val="477" w:hRule="exact"/>
          <w:jc w:val="center"/>
        </w:trPr>
        <w:tc>
          <w:tcPr>
            <w:tcW w:w="6085"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520" w:lineRule="exact"/>
        <w:jc w:val="left"/>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填报注意事项：</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1.得分一档最高不能超过该指标分值上限。</w:t>
      </w:r>
    </w:p>
    <w:p>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3.请在“偏差原因分析及改进措施”中说明偏离目标、不能完成目标的原因及拟采取的措施。</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4.90（含）-100分为优、80（含）-90分为良、60（含）-80分为中、60分以下为差。</w:t>
      </w:r>
    </w:p>
    <w:p>
      <w:pPr>
        <w:keepNext w:val="0"/>
        <w:keepLines w:val="0"/>
        <w:pageBreakBefore w:val="0"/>
        <w:kinsoku/>
        <w:wordWrap/>
        <w:overflowPunct/>
        <w:topLinePunct w:val="0"/>
        <w:autoSpaceDE/>
        <w:autoSpaceDN/>
        <w:bidi w:val="0"/>
        <w:adjustRightInd/>
        <w:snapToGrid/>
        <w:spacing w:after="0" w:line="560" w:lineRule="exact"/>
        <w:textAlignment w:val="auto"/>
      </w:pPr>
    </w:p>
    <w:p>
      <w:pPr>
        <w:spacing w:line="480" w:lineRule="exact"/>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86C1"/>
    <w:multiLevelType w:val="singleLevel"/>
    <w:tmpl w:val="EFBF86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22"/>
    <w:rsid w:val="00075E32"/>
    <w:rsid w:val="00087A14"/>
    <w:rsid w:val="000C1552"/>
    <w:rsid w:val="000C1C88"/>
    <w:rsid w:val="000E3940"/>
    <w:rsid w:val="00113F4B"/>
    <w:rsid w:val="00133577"/>
    <w:rsid w:val="001B6051"/>
    <w:rsid w:val="001C7A82"/>
    <w:rsid w:val="0022086A"/>
    <w:rsid w:val="0026605B"/>
    <w:rsid w:val="00272F3A"/>
    <w:rsid w:val="00285F8B"/>
    <w:rsid w:val="00346BFC"/>
    <w:rsid w:val="0034726E"/>
    <w:rsid w:val="003713A8"/>
    <w:rsid w:val="003A13F7"/>
    <w:rsid w:val="003B4690"/>
    <w:rsid w:val="003B7957"/>
    <w:rsid w:val="00433C43"/>
    <w:rsid w:val="004E0053"/>
    <w:rsid w:val="00505AA6"/>
    <w:rsid w:val="00510666"/>
    <w:rsid w:val="00621670"/>
    <w:rsid w:val="006963F4"/>
    <w:rsid w:val="006B105A"/>
    <w:rsid w:val="00834901"/>
    <w:rsid w:val="008572A8"/>
    <w:rsid w:val="008B5B17"/>
    <w:rsid w:val="00966623"/>
    <w:rsid w:val="0098117F"/>
    <w:rsid w:val="00990068"/>
    <w:rsid w:val="009D4729"/>
    <w:rsid w:val="00A7758B"/>
    <w:rsid w:val="00A86CEA"/>
    <w:rsid w:val="00BB0A5B"/>
    <w:rsid w:val="00BE38B8"/>
    <w:rsid w:val="00C06E80"/>
    <w:rsid w:val="00C46E0B"/>
    <w:rsid w:val="00C5522D"/>
    <w:rsid w:val="00CA53C7"/>
    <w:rsid w:val="00CC19CE"/>
    <w:rsid w:val="00D50990"/>
    <w:rsid w:val="00DD73CB"/>
    <w:rsid w:val="00DE0F62"/>
    <w:rsid w:val="00DF4266"/>
    <w:rsid w:val="00EB2671"/>
    <w:rsid w:val="00EC71CF"/>
    <w:rsid w:val="00F53D19"/>
    <w:rsid w:val="00F67F22"/>
    <w:rsid w:val="00F808DE"/>
    <w:rsid w:val="00FA5C5C"/>
    <w:rsid w:val="00FA6684"/>
    <w:rsid w:val="00FB3D52"/>
    <w:rsid w:val="00FB7855"/>
    <w:rsid w:val="00FD3E97"/>
    <w:rsid w:val="1DFF4CDD"/>
    <w:rsid w:val="5E7F6E77"/>
    <w:rsid w:val="77BC4A98"/>
    <w:rsid w:val="7B3BDEC1"/>
    <w:rsid w:val="7B727EE3"/>
    <w:rsid w:val="7BEC971A"/>
    <w:rsid w:val="7DBBF2C6"/>
    <w:rsid w:val="ADCD9636"/>
    <w:rsid w:val="DFE5404B"/>
    <w:rsid w:val="F3FFB6C7"/>
    <w:rsid w:val="FFDB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2666</Words>
  <Characters>2828</Characters>
  <Lines>282</Lines>
  <Paragraphs>238</Paragraphs>
  <TotalTime>0</TotalTime>
  <ScaleCrop>false</ScaleCrop>
  <LinksUpToDate>false</LinksUpToDate>
  <CharactersWithSpaces>5256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薇 薛</dc:creator>
  <cp:lastModifiedBy>lenovo</cp:lastModifiedBy>
  <cp:lastPrinted>2025-05-21T18:34:00Z</cp:lastPrinted>
  <dcterms:modified xsi:type="dcterms:W3CDTF">2025-08-20T17:39:59Z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